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10" w:rsidRDefault="00E73410" w:rsidP="00DF5FDC">
      <w:pPr>
        <w:pStyle w:val="ConsPlusNormal"/>
        <w:jc w:val="right"/>
      </w:pPr>
      <w:r>
        <w:t>Утв</w:t>
      </w:r>
      <w:r w:rsidR="00B955E6">
        <w:t>ержден</w:t>
      </w:r>
      <w:r w:rsidR="000E2D5A">
        <w:t>а</w:t>
      </w:r>
      <w:r w:rsidR="00BE2B44">
        <w:t xml:space="preserve"> </w:t>
      </w:r>
    </w:p>
    <w:p w:rsidR="00DF5FDC" w:rsidRDefault="00DF5FDC" w:rsidP="00DF5FDC">
      <w:pPr>
        <w:pStyle w:val="ConsPlusNormal"/>
        <w:jc w:val="right"/>
      </w:pPr>
      <w:r>
        <w:t>постановлени</w:t>
      </w:r>
      <w:r w:rsidR="00B955E6">
        <w:t>ем</w:t>
      </w:r>
      <w:r>
        <w:t xml:space="preserve"> </w:t>
      </w:r>
    </w:p>
    <w:p w:rsidR="00DF5FDC" w:rsidRDefault="00DF5FDC" w:rsidP="00DF5FDC">
      <w:pPr>
        <w:pStyle w:val="ConsPlusNormal"/>
        <w:jc w:val="right"/>
      </w:pPr>
      <w:bookmarkStart w:id="0" w:name="_GoBack"/>
      <w:bookmarkEnd w:id="0"/>
      <w:r>
        <w:t>Администрации города Иванова</w:t>
      </w:r>
    </w:p>
    <w:p w:rsidR="00DF5FDC" w:rsidRDefault="00DF5FDC" w:rsidP="00DF5FDC">
      <w:pPr>
        <w:pStyle w:val="ConsPlusNormal"/>
        <w:jc w:val="right"/>
      </w:pPr>
      <w:r>
        <w:t>от _</w:t>
      </w:r>
      <w:r w:rsidR="00D45EDA" w:rsidRPr="00D45EDA">
        <w:rPr>
          <w:u w:val="single"/>
        </w:rPr>
        <w:t>14.</w:t>
      </w:r>
      <w:r w:rsidR="00D45EDA" w:rsidRPr="00D45EDA">
        <w:rPr>
          <w:u w:val="single"/>
          <w:lang w:val="en-US"/>
        </w:rPr>
        <w:t>06.2016</w:t>
      </w:r>
      <w:r w:rsidRPr="00D45EDA">
        <w:rPr>
          <w:u w:val="single"/>
        </w:rPr>
        <w:t>__ № _</w:t>
      </w:r>
      <w:r w:rsidR="00D45EDA" w:rsidRPr="00D45EDA">
        <w:rPr>
          <w:u w:val="single"/>
          <w:lang w:val="en-US"/>
        </w:rPr>
        <w:t>1088</w:t>
      </w:r>
      <w:r>
        <w:t>_</w:t>
      </w:r>
    </w:p>
    <w:p w:rsidR="00DF5FDC" w:rsidRDefault="00DF5FDC" w:rsidP="00DF5FDC">
      <w:pPr>
        <w:pStyle w:val="ConsPlusNormal"/>
      </w:pPr>
    </w:p>
    <w:p w:rsidR="009F797E" w:rsidRDefault="009F797E" w:rsidP="00DF5FDC">
      <w:pPr>
        <w:pStyle w:val="ConsPlusNormal"/>
      </w:pPr>
    </w:p>
    <w:p w:rsidR="00585A1C" w:rsidRDefault="00165EDE" w:rsidP="0049646C">
      <w:pPr>
        <w:pStyle w:val="ConsPlusNormal"/>
        <w:jc w:val="center"/>
      </w:pPr>
      <w:r>
        <w:rPr>
          <w:rFonts w:eastAsiaTheme="minorHAnsi"/>
          <w:szCs w:val="24"/>
          <w:lang w:eastAsia="en-US"/>
        </w:rPr>
        <w:t xml:space="preserve">Шкала </w:t>
      </w:r>
      <w:r w:rsidR="002B3466">
        <w:rPr>
          <w:rFonts w:eastAsiaTheme="minorHAnsi"/>
          <w:szCs w:val="24"/>
          <w:lang w:eastAsia="en-US"/>
        </w:rPr>
        <w:t xml:space="preserve">для </w:t>
      </w:r>
      <w:r>
        <w:rPr>
          <w:rFonts w:eastAsiaTheme="minorHAnsi"/>
          <w:szCs w:val="24"/>
          <w:lang w:eastAsia="en-US"/>
        </w:rPr>
        <w:t xml:space="preserve">оценки критериев </w:t>
      </w:r>
      <w:r w:rsidR="002B3466">
        <w:rPr>
          <w:rFonts w:eastAsiaTheme="minorHAnsi"/>
          <w:szCs w:val="24"/>
          <w:lang w:eastAsia="en-US"/>
        </w:rPr>
        <w:t>при</w:t>
      </w:r>
      <w:r>
        <w:rPr>
          <w:rFonts w:eastAsiaTheme="minorHAnsi"/>
          <w:szCs w:val="24"/>
          <w:lang w:eastAsia="en-US"/>
        </w:rPr>
        <w:t xml:space="preserve"> проведени</w:t>
      </w:r>
      <w:r w:rsidR="002B3466">
        <w:rPr>
          <w:rFonts w:eastAsiaTheme="minorHAnsi"/>
          <w:szCs w:val="24"/>
          <w:lang w:eastAsia="en-US"/>
        </w:rPr>
        <w:t>и</w:t>
      </w:r>
      <w:r>
        <w:rPr>
          <w:rFonts w:eastAsiaTheme="minorHAnsi"/>
          <w:szCs w:val="24"/>
          <w:lang w:eastAsia="en-US"/>
        </w:rPr>
        <w:t xml:space="preserve"> открытого конкурса на право осуществления перевозок по муниципальным маршрутам регулярных перевозок</w:t>
      </w:r>
      <w:r w:rsidRPr="00763680">
        <w:rPr>
          <w:rFonts w:eastAsiaTheme="minorHAnsi"/>
          <w:szCs w:val="24"/>
          <w:lang w:eastAsia="en-US"/>
        </w:rPr>
        <w:t xml:space="preserve"> города Иванова</w:t>
      </w:r>
      <w:r w:rsidR="001E02A8">
        <w:t xml:space="preserve"> </w:t>
      </w:r>
    </w:p>
    <w:p w:rsidR="0049646C" w:rsidRPr="0049646C" w:rsidRDefault="001E02A8" w:rsidP="0049646C">
      <w:pPr>
        <w:pStyle w:val="ConsPlusNormal"/>
        <w:jc w:val="center"/>
      </w:pPr>
      <w:r>
        <w:t xml:space="preserve">(далее – </w:t>
      </w:r>
      <w:r w:rsidR="00165EDE">
        <w:t>Шкала</w:t>
      </w:r>
      <w:r w:rsidR="00B955E6">
        <w:t xml:space="preserve"> </w:t>
      </w:r>
      <w:r w:rsidR="002B3466">
        <w:t xml:space="preserve">для </w:t>
      </w:r>
      <w:r w:rsidR="00B955E6">
        <w:rPr>
          <w:rFonts w:eastAsiaTheme="minorHAnsi"/>
          <w:szCs w:val="24"/>
          <w:lang w:eastAsia="en-US"/>
        </w:rPr>
        <w:t>оценки критериев</w:t>
      </w:r>
      <w:r>
        <w:t>).</w:t>
      </w:r>
    </w:p>
    <w:p w:rsidR="000E2D5A" w:rsidRDefault="000E2D5A" w:rsidP="0093406B">
      <w:pPr>
        <w:pStyle w:val="ConsPlusNormal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5"/>
        <w:gridCol w:w="5427"/>
        <w:gridCol w:w="3478"/>
      </w:tblGrid>
      <w:tr w:rsidR="000E2D5A" w:rsidTr="00BC1BDE">
        <w:tc>
          <w:tcPr>
            <w:tcW w:w="675" w:type="dxa"/>
          </w:tcPr>
          <w:p w:rsidR="000E2D5A" w:rsidRDefault="000E2D5A" w:rsidP="0050207A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2" w:type="dxa"/>
          </w:tcPr>
          <w:p w:rsidR="000E2D5A" w:rsidRDefault="000E2D5A" w:rsidP="000E2D5A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3650" w:type="dxa"/>
          </w:tcPr>
          <w:p w:rsidR="000E2D5A" w:rsidRDefault="000E2D5A" w:rsidP="000E2D5A">
            <w:pPr>
              <w:pStyle w:val="ConsPlusNormal"/>
              <w:jc w:val="center"/>
            </w:pPr>
            <w:r>
              <w:t>Баллы</w:t>
            </w:r>
          </w:p>
        </w:tc>
      </w:tr>
      <w:tr w:rsidR="000E2D5A" w:rsidTr="00BC1BDE">
        <w:tc>
          <w:tcPr>
            <w:tcW w:w="675" w:type="dxa"/>
          </w:tcPr>
          <w:p w:rsidR="000E2D5A" w:rsidRDefault="000E2D5A" w:rsidP="005020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12" w:type="dxa"/>
          </w:tcPr>
          <w:p w:rsidR="000E2D5A" w:rsidRDefault="00BC1BDE" w:rsidP="00BC1BDE">
            <w:pPr>
              <w:pStyle w:val="ConsPlusNormal"/>
              <w:ind w:firstLine="540"/>
              <w:jc w:val="both"/>
            </w:pPr>
            <w:proofErr w:type="gramStart"/>
            <w: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</w:t>
            </w:r>
            <w:proofErr w:type="gramEnd"/>
            <w:r>
              <w:t xml:space="preserve"> проведения открытого конкурса:</w:t>
            </w:r>
          </w:p>
        </w:tc>
        <w:tc>
          <w:tcPr>
            <w:tcW w:w="3650" w:type="dxa"/>
          </w:tcPr>
          <w:p w:rsidR="00BC1BDE" w:rsidRDefault="00BC1BDE" w:rsidP="00BC1BDE">
            <w:pPr>
              <w:pStyle w:val="ConsPlusNormal"/>
              <w:ind w:firstLine="540"/>
              <w:jc w:val="both"/>
            </w:pPr>
            <w:r>
              <w:t>Критерий рассчитывается путем деления количества дорожно-транспортных происшествий (далее - ДТП), в которых погибли или ранены люди, с участием транспортных сре</w:t>
            </w:r>
            <w:proofErr w:type="gramStart"/>
            <w:r>
              <w:t>дств пр</w:t>
            </w:r>
            <w:proofErr w:type="gramEnd"/>
            <w:r>
              <w:t>етендента за отчетный период на среднесписочное количество транспортных средств претендента, предназначенных для перевозки пассажиров и багажа за отчетный период.</w:t>
            </w:r>
          </w:p>
          <w:p w:rsidR="00BC1BDE" w:rsidRDefault="00BC1BDE" w:rsidP="00BC1BDE">
            <w:pPr>
              <w:pStyle w:val="ConsPlusNormal"/>
              <w:ind w:firstLine="540"/>
              <w:jc w:val="both"/>
            </w:pPr>
            <w:r>
              <w:t>Под отчетным периодом понимается период, равный 12 месяцам до даты опубликования извещения о проведении конкурса (в случае, если у участника конкурса опыт осуществления регулярных перевозок менее 1 года до даты опубликования извещения о проведении конкурса, под отчетным периодом понимается период осуществления регулярных перевозок равный  количеству полных месяцев осуществления регулярных перевозок).</w:t>
            </w:r>
          </w:p>
          <w:p w:rsidR="00BC1BDE" w:rsidRDefault="00BC1BDE" w:rsidP="00BC1BDE">
            <w:pPr>
              <w:pStyle w:val="ConsPlusNormal"/>
              <w:ind w:firstLine="540"/>
              <w:jc w:val="both"/>
            </w:pPr>
            <w:r>
              <w:t>Среднесписочное количество транспортных сре</w:t>
            </w:r>
            <w:proofErr w:type="gramStart"/>
            <w:r>
              <w:t>дств пр</w:t>
            </w:r>
            <w:proofErr w:type="gramEnd"/>
            <w:r>
              <w:t xml:space="preserve">етендента определяется путем сложения количества транспортных средств по состоянию на первое число каждого месяца отчетного периода и деления </w:t>
            </w:r>
            <w:r>
              <w:lastRenderedPageBreak/>
              <w:t>результата на количество месяцев в отчетном периоде.</w:t>
            </w:r>
          </w:p>
          <w:p w:rsidR="000E2D5A" w:rsidRDefault="00BC1BDE" w:rsidP="00BC1BDE">
            <w:pPr>
              <w:pStyle w:val="ConsPlusNormal"/>
              <w:ind w:firstLine="540"/>
              <w:jc w:val="both"/>
            </w:pPr>
            <w:r>
              <w:t>Расчет производится с точностью до третьего знака после запятой.</w:t>
            </w:r>
          </w:p>
        </w:tc>
      </w:tr>
      <w:tr w:rsidR="00BC1BDE" w:rsidTr="00BC1BDE">
        <w:tc>
          <w:tcPr>
            <w:tcW w:w="675" w:type="dxa"/>
            <w:vMerge w:val="restart"/>
          </w:tcPr>
          <w:p w:rsidR="00BC1BDE" w:rsidRDefault="00BC1BDE" w:rsidP="0050207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812" w:type="dxa"/>
          </w:tcPr>
          <w:p w:rsidR="00BC1BDE" w:rsidRDefault="00BC1BDE" w:rsidP="0093406B">
            <w:pPr>
              <w:pStyle w:val="ConsPlusNormal"/>
              <w:jc w:val="both"/>
            </w:pPr>
            <w:r>
              <w:t>Опыт осуществления регулярных перевозок (далее – опыт) юридическим лицом, индивидуальным предпринимателем или участниками договора простого товарищества,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Федерации, муниципальными нормативными правовыми актами:</w:t>
            </w:r>
          </w:p>
        </w:tc>
        <w:tc>
          <w:tcPr>
            <w:tcW w:w="3650" w:type="dxa"/>
          </w:tcPr>
          <w:p w:rsidR="00BC1BDE" w:rsidRDefault="00BC1BDE" w:rsidP="0093406B">
            <w:pPr>
              <w:pStyle w:val="ConsPlusNormal"/>
              <w:jc w:val="both"/>
            </w:pPr>
          </w:p>
        </w:tc>
      </w:tr>
      <w:tr w:rsidR="00BC1BDE" w:rsidTr="00BC1BDE">
        <w:tc>
          <w:tcPr>
            <w:tcW w:w="675" w:type="dxa"/>
            <w:vMerge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опыт до 3 лет (включительно)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5</w:t>
            </w:r>
          </w:p>
        </w:tc>
      </w:tr>
      <w:tr w:rsidR="00BC1BDE" w:rsidTr="00BC1BDE">
        <w:tc>
          <w:tcPr>
            <w:tcW w:w="675" w:type="dxa"/>
            <w:vMerge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опыт от 3 лет до 6 лет (включительно)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10</w:t>
            </w:r>
          </w:p>
        </w:tc>
      </w:tr>
      <w:tr w:rsidR="00BC1BDE" w:rsidTr="00BC1BDE">
        <w:tc>
          <w:tcPr>
            <w:tcW w:w="675" w:type="dxa"/>
            <w:vMerge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опыт от 6 лет до 9 лет (включительно)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15</w:t>
            </w:r>
          </w:p>
        </w:tc>
      </w:tr>
      <w:tr w:rsidR="00BC1BDE" w:rsidTr="00BC1BDE">
        <w:tc>
          <w:tcPr>
            <w:tcW w:w="675" w:type="dxa"/>
            <w:vMerge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опыт более 9 лет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20</w:t>
            </w:r>
          </w:p>
        </w:tc>
      </w:tr>
      <w:tr w:rsidR="000E2D5A" w:rsidTr="00BC1BDE">
        <w:tc>
          <w:tcPr>
            <w:tcW w:w="675" w:type="dxa"/>
          </w:tcPr>
          <w:p w:rsidR="000E2D5A" w:rsidRDefault="00BC1BDE" w:rsidP="00502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0E2D5A" w:rsidRDefault="00BC1BDE" w:rsidP="00567165">
            <w:pPr>
              <w:pStyle w:val="ConsPlusNormal"/>
              <w:jc w:val="both"/>
            </w:pPr>
            <w:r>
              <w:t>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перевозок, влияющи</w:t>
            </w:r>
            <w:r w:rsidR="00567165">
              <w:t>е</w:t>
            </w:r>
            <w:r>
              <w:t xml:space="preserve"> на качество перевозок:</w:t>
            </w:r>
          </w:p>
        </w:tc>
        <w:tc>
          <w:tcPr>
            <w:tcW w:w="3650" w:type="dxa"/>
          </w:tcPr>
          <w:p w:rsidR="000E2D5A" w:rsidRDefault="000E2D5A" w:rsidP="0050207A">
            <w:pPr>
              <w:pStyle w:val="ConsPlusNormal"/>
              <w:jc w:val="center"/>
            </w:pPr>
          </w:p>
        </w:tc>
      </w:tr>
      <w:tr w:rsidR="000E2D5A" w:rsidTr="00BC1BDE">
        <w:tc>
          <w:tcPr>
            <w:tcW w:w="675" w:type="dxa"/>
          </w:tcPr>
          <w:p w:rsidR="000E2D5A" w:rsidRDefault="00BC1BDE" w:rsidP="0050207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812" w:type="dxa"/>
          </w:tcPr>
          <w:p w:rsidR="000E2D5A" w:rsidRDefault="00BC1BDE" w:rsidP="0093406B">
            <w:pPr>
              <w:pStyle w:val="ConsPlusNormal"/>
              <w:jc w:val="both"/>
            </w:pPr>
            <w:r>
              <w:t>Наличие кондиционера в транспортном средстве</w:t>
            </w:r>
          </w:p>
        </w:tc>
        <w:tc>
          <w:tcPr>
            <w:tcW w:w="3650" w:type="dxa"/>
          </w:tcPr>
          <w:p w:rsidR="000E2D5A" w:rsidRDefault="00BC1BDE" w:rsidP="0050207A">
            <w:pPr>
              <w:pStyle w:val="ConsPlusNormal"/>
              <w:jc w:val="center"/>
            </w:pPr>
            <w:r>
              <w:t>1</w:t>
            </w:r>
          </w:p>
        </w:tc>
      </w:tr>
      <w:tr w:rsidR="000E2D5A" w:rsidTr="00BC1BDE">
        <w:tc>
          <w:tcPr>
            <w:tcW w:w="675" w:type="dxa"/>
          </w:tcPr>
          <w:p w:rsidR="000E2D5A" w:rsidRDefault="00BC1BDE" w:rsidP="0050207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812" w:type="dxa"/>
          </w:tcPr>
          <w:p w:rsidR="000E2D5A" w:rsidRDefault="00BC1BDE" w:rsidP="0093406B">
            <w:pPr>
              <w:pStyle w:val="ConsPlusNormal"/>
              <w:jc w:val="both"/>
            </w:pPr>
            <w:r>
              <w:t>Наличие низкого пола в транспортном средстве</w:t>
            </w:r>
          </w:p>
        </w:tc>
        <w:tc>
          <w:tcPr>
            <w:tcW w:w="3650" w:type="dxa"/>
          </w:tcPr>
          <w:p w:rsidR="000E2D5A" w:rsidRDefault="00BC1BDE" w:rsidP="0050207A">
            <w:pPr>
              <w:pStyle w:val="ConsPlusNormal"/>
              <w:jc w:val="center"/>
            </w:pPr>
            <w:r>
              <w:t>2</w:t>
            </w:r>
          </w:p>
        </w:tc>
      </w:tr>
      <w:tr w:rsidR="00BC1BDE" w:rsidTr="00BC1BDE">
        <w:tc>
          <w:tcPr>
            <w:tcW w:w="675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812" w:type="dxa"/>
          </w:tcPr>
          <w:p w:rsidR="00BC1BDE" w:rsidRDefault="00BC1BDE" w:rsidP="0093406B">
            <w:pPr>
              <w:pStyle w:val="ConsPlusNormal"/>
              <w:jc w:val="both"/>
            </w:pPr>
            <w: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10</w:t>
            </w:r>
          </w:p>
        </w:tc>
      </w:tr>
      <w:tr w:rsidR="00BC1BDE" w:rsidTr="00BC1BDE">
        <w:tc>
          <w:tcPr>
            <w:tcW w:w="675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812" w:type="dxa"/>
          </w:tcPr>
          <w:p w:rsidR="00BC1BDE" w:rsidRDefault="00BC1BDE" w:rsidP="0093406B">
            <w:pPr>
              <w:pStyle w:val="ConsPlusNormal"/>
              <w:jc w:val="both"/>
            </w:pPr>
            <w:r>
              <w:t>Оборудование транспортного средства для перевозки пассажиров с детскими колясками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2</w:t>
            </w:r>
          </w:p>
        </w:tc>
      </w:tr>
      <w:tr w:rsidR="00BC1BDE" w:rsidTr="00BC1BDE">
        <w:tc>
          <w:tcPr>
            <w:tcW w:w="675" w:type="dxa"/>
            <w:vMerge w:val="restart"/>
          </w:tcPr>
          <w:p w:rsidR="00BC1BDE" w:rsidRDefault="00BC1BDE" w:rsidP="0050207A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812" w:type="dxa"/>
          </w:tcPr>
          <w:p w:rsidR="00BC1BDE" w:rsidRDefault="00BC1BDE" w:rsidP="0093406B">
            <w:pPr>
              <w:pStyle w:val="ConsPlusNormal"/>
              <w:jc w:val="both"/>
            </w:pPr>
            <w:r>
              <w:t xml:space="preserve">Общая вместимость транспортных средств </w:t>
            </w:r>
            <w:r w:rsidRPr="0096349D">
              <w:rPr>
                <w:rFonts w:eastAsiaTheme="minorHAnsi"/>
                <w:szCs w:val="24"/>
                <w:lang w:eastAsia="en-US"/>
              </w:rPr>
              <w:t xml:space="preserve">соискателя, которые планируется использовать </w:t>
            </w:r>
            <w:r>
              <w:rPr>
                <w:rFonts w:eastAsiaTheme="minorHAnsi"/>
                <w:szCs w:val="24"/>
                <w:lang w:eastAsia="en-US"/>
              </w:rPr>
              <w:t xml:space="preserve">для осуществления регулярных перевозок по </w:t>
            </w:r>
            <w:r w:rsidRPr="0096349D">
              <w:rPr>
                <w:rFonts w:eastAsiaTheme="minorHAnsi"/>
                <w:szCs w:val="24"/>
                <w:lang w:eastAsia="en-US"/>
              </w:rPr>
              <w:t>муниципальному маршруту</w:t>
            </w:r>
            <w:r>
              <w:rPr>
                <w:rFonts w:eastAsiaTheme="minorHAnsi"/>
                <w:szCs w:val="24"/>
                <w:lang w:eastAsia="en-US"/>
              </w:rPr>
              <w:t>: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</w:p>
        </w:tc>
      </w:tr>
      <w:tr w:rsidR="00BC1BDE" w:rsidTr="00BC1BDE">
        <w:tc>
          <w:tcPr>
            <w:tcW w:w="675" w:type="dxa"/>
            <w:vMerge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до 15 мест (включительно)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2</w:t>
            </w:r>
          </w:p>
        </w:tc>
      </w:tr>
      <w:tr w:rsidR="00BC1BDE" w:rsidTr="00BC1BDE">
        <w:tc>
          <w:tcPr>
            <w:tcW w:w="675" w:type="dxa"/>
            <w:vMerge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от 16 до 22 мест (включительно)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4</w:t>
            </w:r>
          </w:p>
        </w:tc>
      </w:tr>
      <w:tr w:rsidR="00BC1BDE" w:rsidTr="00BC1BDE">
        <w:tc>
          <w:tcPr>
            <w:tcW w:w="675" w:type="dxa"/>
            <w:vMerge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от 23 до 40 мест (включительно)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6</w:t>
            </w:r>
          </w:p>
        </w:tc>
      </w:tr>
      <w:tr w:rsidR="00BC1BDE" w:rsidTr="00BC1BDE">
        <w:tc>
          <w:tcPr>
            <w:tcW w:w="675" w:type="dxa"/>
            <w:vMerge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от  41 места и более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10</w:t>
            </w:r>
          </w:p>
        </w:tc>
      </w:tr>
      <w:tr w:rsidR="00BC1BDE" w:rsidTr="00BC1BDE">
        <w:tc>
          <w:tcPr>
            <w:tcW w:w="675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О</w:t>
            </w:r>
            <w:r w:rsidRPr="00C73406">
              <w:rPr>
                <w:rFonts w:eastAsiaTheme="minorHAnsi"/>
                <w:szCs w:val="24"/>
                <w:lang w:eastAsia="en-US"/>
              </w:rPr>
              <w:t>снащение в установленном порядке транспортных средств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96349D">
              <w:rPr>
                <w:rFonts w:eastAsiaTheme="minorHAnsi"/>
                <w:szCs w:val="24"/>
                <w:lang w:eastAsia="en-US"/>
              </w:rPr>
              <w:t xml:space="preserve">соискателя, которые планируется использовать </w:t>
            </w:r>
            <w:r>
              <w:rPr>
                <w:rFonts w:eastAsiaTheme="minorHAnsi"/>
                <w:szCs w:val="24"/>
                <w:lang w:eastAsia="en-US"/>
              </w:rPr>
              <w:t xml:space="preserve">для осуществления регулярных перевозок по </w:t>
            </w:r>
            <w:r w:rsidRPr="0096349D">
              <w:rPr>
                <w:rFonts w:eastAsiaTheme="minorHAnsi"/>
                <w:szCs w:val="24"/>
                <w:lang w:eastAsia="en-US"/>
              </w:rPr>
              <w:t>муниципальному маршруту</w:t>
            </w:r>
            <w:r>
              <w:rPr>
                <w:rFonts w:eastAsiaTheme="minorHAnsi"/>
                <w:szCs w:val="24"/>
                <w:lang w:eastAsia="en-US"/>
              </w:rPr>
              <w:t>,</w:t>
            </w:r>
            <w:r w:rsidRPr="00C73406">
              <w:rPr>
                <w:rFonts w:eastAsiaTheme="minorHAnsi"/>
                <w:szCs w:val="24"/>
                <w:lang w:eastAsia="en-US"/>
              </w:rPr>
              <w:t xml:space="preserve"> аппаратурой спутниковой навигации ГЛОНАСС или ГЛОНАСС/GPS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rPr>
                <w:rFonts w:eastAsiaTheme="minorHAnsi"/>
                <w:szCs w:val="24"/>
                <w:lang w:eastAsia="en-US"/>
              </w:rPr>
              <w:t>5</w:t>
            </w:r>
          </w:p>
        </w:tc>
      </w:tr>
      <w:tr w:rsidR="00BC1BDE" w:rsidTr="00BC1BDE">
        <w:tc>
          <w:tcPr>
            <w:tcW w:w="675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812" w:type="dxa"/>
          </w:tcPr>
          <w:p w:rsidR="00BC1BDE" w:rsidRDefault="00BC1BDE" w:rsidP="0050207A">
            <w:pPr>
              <w:pStyle w:val="ConsPlusNormal"/>
              <w:jc w:val="both"/>
            </w:pPr>
            <w:r>
              <w:rPr>
                <w:rFonts w:eastAsiaTheme="minorHAnsi"/>
                <w:szCs w:val="24"/>
                <w:lang w:eastAsia="en-US"/>
              </w:rPr>
              <w:t xml:space="preserve">Оборудование </w:t>
            </w:r>
            <w:r w:rsidRPr="0096349D">
              <w:rPr>
                <w:rFonts w:eastAsiaTheme="minorHAnsi"/>
                <w:szCs w:val="24"/>
                <w:lang w:eastAsia="en-US"/>
              </w:rPr>
              <w:t xml:space="preserve">транспортных средств соискателя, которые планируется использовать </w:t>
            </w:r>
            <w:r>
              <w:rPr>
                <w:rFonts w:eastAsiaTheme="minorHAnsi"/>
                <w:szCs w:val="24"/>
                <w:lang w:eastAsia="en-US"/>
              </w:rPr>
              <w:t xml:space="preserve">для осуществления регулярных перевозок по </w:t>
            </w:r>
            <w:r w:rsidRPr="0096349D">
              <w:rPr>
                <w:rFonts w:eastAsiaTheme="minorHAnsi"/>
                <w:szCs w:val="24"/>
                <w:lang w:eastAsia="en-US"/>
              </w:rPr>
              <w:t>муниципальному маршруту</w:t>
            </w:r>
            <w:r>
              <w:rPr>
                <w:rFonts w:eastAsiaTheme="minorHAnsi"/>
                <w:szCs w:val="24"/>
                <w:lang w:eastAsia="en-US"/>
              </w:rPr>
              <w:t xml:space="preserve">, устройствами, </w:t>
            </w:r>
            <w:r>
              <w:rPr>
                <w:rFonts w:eastAsiaTheme="minorHAnsi"/>
                <w:szCs w:val="24"/>
                <w:lang w:eastAsia="en-US"/>
              </w:rPr>
              <w:lastRenderedPageBreak/>
              <w:t>дублирующими необходимую для пассажиров из числа инвалидов  звуков</w:t>
            </w:r>
            <w:r w:rsidR="0050207A">
              <w:rPr>
                <w:rFonts w:eastAsiaTheme="minorHAnsi"/>
                <w:szCs w:val="24"/>
                <w:lang w:eastAsia="en-US"/>
              </w:rPr>
              <w:t>ую</w:t>
            </w:r>
            <w:r>
              <w:rPr>
                <w:rFonts w:eastAsiaTheme="minorHAnsi"/>
                <w:szCs w:val="24"/>
                <w:lang w:eastAsia="en-US"/>
              </w:rPr>
              <w:t xml:space="preserve"> и зрительн</w:t>
            </w:r>
            <w:r w:rsidR="0050207A">
              <w:rPr>
                <w:rFonts w:eastAsiaTheme="minorHAnsi"/>
                <w:szCs w:val="24"/>
                <w:lang w:eastAsia="en-US"/>
              </w:rPr>
              <w:t>ую</w:t>
            </w:r>
            <w:r>
              <w:rPr>
                <w:rFonts w:eastAsiaTheme="minorHAnsi"/>
                <w:szCs w:val="24"/>
                <w:lang w:eastAsia="en-US"/>
              </w:rPr>
              <w:t xml:space="preserve"> информацию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5</w:t>
            </w:r>
          </w:p>
        </w:tc>
      </w:tr>
      <w:tr w:rsidR="00BC1BDE" w:rsidTr="00BC1BDE">
        <w:tc>
          <w:tcPr>
            <w:tcW w:w="675" w:type="dxa"/>
          </w:tcPr>
          <w:p w:rsidR="00BC1BDE" w:rsidRDefault="00BC1BDE" w:rsidP="0050207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812" w:type="dxa"/>
          </w:tcPr>
          <w:p w:rsidR="00BC1BDE" w:rsidRDefault="00BC1BDE" w:rsidP="0093406B">
            <w:pPr>
              <w:pStyle w:val="ConsPlusNormal"/>
              <w:jc w:val="both"/>
            </w:pPr>
            <w: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средства)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</w:p>
        </w:tc>
      </w:tr>
      <w:tr w:rsidR="00BC1BDE" w:rsidTr="00BC1BDE">
        <w:tc>
          <w:tcPr>
            <w:tcW w:w="675" w:type="dxa"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до 6 лет (включительно)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20</w:t>
            </w:r>
          </w:p>
        </w:tc>
      </w:tr>
      <w:tr w:rsidR="00BC1BDE" w:rsidTr="00BC1BDE">
        <w:tc>
          <w:tcPr>
            <w:tcW w:w="675" w:type="dxa"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от 6 до 10 лет (включительно)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10</w:t>
            </w:r>
          </w:p>
        </w:tc>
      </w:tr>
      <w:tr w:rsidR="00BC1BDE" w:rsidTr="00BC1BDE">
        <w:tc>
          <w:tcPr>
            <w:tcW w:w="675" w:type="dxa"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от 10 лет и более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5</w:t>
            </w:r>
          </w:p>
        </w:tc>
      </w:tr>
    </w:tbl>
    <w:p w:rsidR="000E2D5A" w:rsidRPr="0049646C" w:rsidRDefault="000E2D5A" w:rsidP="000E2D5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E2D5A" w:rsidRPr="00FF692C" w:rsidRDefault="000E2D5A" w:rsidP="000E2D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F692C">
        <w:rPr>
          <w:rFonts w:eastAsiaTheme="minorHAnsi"/>
          <w:sz w:val="24"/>
          <w:szCs w:val="24"/>
          <w:lang w:eastAsia="en-US"/>
        </w:rPr>
        <w:t xml:space="preserve">Оценка и сопоставление конкурсных заявок участников </w:t>
      </w:r>
      <w:r>
        <w:rPr>
          <w:rFonts w:eastAsiaTheme="minorHAnsi"/>
          <w:sz w:val="24"/>
          <w:szCs w:val="24"/>
          <w:lang w:eastAsia="en-US"/>
        </w:rPr>
        <w:t>открытого к</w:t>
      </w:r>
      <w:r w:rsidRPr="00FF692C">
        <w:rPr>
          <w:rFonts w:eastAsiaTheme="minorHAnsi"/>
          <w:sz w:val="24"/>
          <w:szCs w:val="24"/>
          <w:lang w:eastAsia="en-US"/>
        </w:rPr>
        <w:t xml:space="preserve">онкурса производятся по данным критериям на основании балльной шкалы. </w:t>
      </w:r>
      <w:proofErr w:type="gramStart"/>
      <w:r>
        <w:rPr>
          <w:rFonts w:eastAsiaTheme="minorHAnsi"/>
          <w:sz w:val="24"/>
          <w:szCs w:val="24"/>
          <w:lang w:eastAsia="en-US"/>
        </w:rPr>
        <w:t>Конкурсной заявке п</w:t>
      </w:r>
      <w:r w:rsidRPr="00FF692C">
        <w:rPr>
          <w:rFonts w:eastAsiaTheme="minorHAnsi"/>
          <w:sz w:val="24"/>
          <w:szCs w:val="24"/>
          <w:lang w:eastAsia="en-US"/>
        </w:rPr>
        <w:t>о каждому из критериев конкурсная комиссия выставляет балл</w:t>
      </w:r>
      <w:r>
        <w:rPr>
          <w:rFonts w:eastAsiaTheme="minorHAnsi"/>
          <w:sz w:val="24"/>
          <w:szCs w:val="24"/>
          <w:lang w:eastAsia="en-US"/>
        </w:rPr>
        <w:t>ы, предусмотренные Шкалой для оценки критериев, (при этом, к</w:t>
      </w:r>
      <w:r w:rsidRPr="00FF692C">
        <w:rPr>
          <w:rFonts w:eastAsiaTheme="minorHAnsi"/>
          <w:sz w:val="24"/>
          <w:szCs w:val="24"/>
          <w:lang w:eastAsia="en-US"/>
        </w:rPr>
        <w:t>ритери</w:t>
      </w:r>
      <w:r>
        <w:rPr>
          <w:rFonts w:eastAsiaTheme="minorHAnsi"/>
          <w:sz w:val="24"/>
          <w:szCs w:val="24"/>
          <w:lang w:eastAsia="en-US"/>
        </w:rPr>
        <w:t xml:space="preserve">и, которые </w:t>
      </w:r>
      <w:r w:rsidRPr="00FF692C">
        <w:rPr>
          <w:rFonts w:eastAsiaTheme="minorHAnsi"/>
          <w:sz w:val="24"/>
          <w:szCs w:val="24"/>
          <w:lang w:eastAsia="en-US"/>
        </w:rPr>
        <w:t>относ</w:t>
      </w:r>
      <w:r>
        <w:rPr>
          <w:rFonts w:eastAsiaTheme="minorHAnsi"/>
          <w:sz w:val="24"/>
          <w:szCs w:val="24"/>
          <w:lang w:eastAsia="en-US"/>
        </w:rPr>
        <w:t>я</w:t>
      </w:r>
      <w:r w:rsidRPr="00FF692C">
        <w:rPr>
          <w:rFonts w:eastAsiaTheme="minorHAnsi"/>
          <w:sz w:val="24"/>
          <w:szCs w:val="24"/>
          <w:lang w:eastAsia="en-US"/>
        </w:rPr>
        <w:t xml:space="preserve">тся к каждому из </w:t>
      </w:r>
      <w:r w:rsidR="00567165">
        <w:rPr>
          <w:rFonts w:eastAsiaTheme="minorHAnsi"/>
          <w:sz w:val="24"/>
          <w:szCs w:val="24"/>
          <w:lang w:eastAsia="en-US"/>
        </w:rPr>
        <w:t>транспортных средств</w:t>
      </w:r>
      <w:r w:rsidRPr="00FF692C">
        <w:rPr>
          <w:rFonts w:eastAsiaTheme="minorHAnsi"/>
          <w:sz w:val="24"/>
          <w:szCs w:val="24"/>
          <w:lang w:eastAsia="en-US"/>
        </w:rPr>
        <w:t xml:space="preserve">, выставленных на </w:t>
      </w:r>
      <w:r>
        <w:rPr>
          <w:rFonts w:eastAsiaTheme="minorHAnsi"/>
          <w:sz w:val="24"/>
          <w:szCs w:val="24"/>
          <w:lang w:eastAsia="en-US"/>
        </w:rPr>
        <w:t>к</w:t>
      </w:r>
      <w:r w:rsidRPr="00FF692C">
        <w:rPr>
          <w:rFonts w:eastAsiaTheme="minorHAnsi"/>
          <w:sz w:val="24"/>
          <w:szCs w:val="24"/>
          <w:lang w:eastAsia="en-US"/>
        </w:rPr>
        <w:t>онкурс</w:t>
      </w:r>
      <w:r>
        <w:rPr>
          <w:rFonts w:eastAsiaTheme="minorHAnsi"/>
          <w:sz w:val="24"/>
          <w:szCs w:val="24"/>
          <w:lang w:eastAsia="en-US"/>
        </w:rPr>
        <w:t xml:space="preserve"> (пункт 3 Шкалы для оценки критериев)</w:t>
      </w:r>
      <w:r w:rsidRPr="00FF692C">
        <w:rPr>
          <w:rFonts w:eastAsiaTheme="minorHAnsi"/>
          <w:sz w:val="24"/>
          <w:szCs w:val="24"/>
          <w:lang w:eastAsia="en-US"/>
        </w:rPr>
        <w:t>, баллы проста</w:t>
      </w:r>
      <w:r w:rsidR="00567165">
        <w:rPr>
          <w:rFonts w:eastAsiaTheme="minorHAnsi"/>
          <w:sz w:val="24"/>
          <w:szCs w:val="24"/>
          <w:lang w:eastAsia="en-US"/>
        </w:rPr>
        <w:t>вляются в отношении каждого из транспортных средств</w:t>
      </w:r>
      <w:r w:rsidRPr="00FF692C">
        <w:rPr>
          <w:rFonts w:eastAsiaTheme="minorHAnsi"/>
          <w:sz w:val="24"/>
          <w:szCs w:val="24"/>
          <w:lang w:eastAsia="en-US"/>
        </w:rPr>
        <w:t xml:space="preserve">, сумма баллов делится на количество рассматриваемых </w:t>
      </w:r>
      <w:r w:rsidR="00567165">
        <w:rPr>
          <w:rFonts w:eastAsiaTheme="minorHAnsi"/>
          <w:sz w:val="24"/>
          <w:szCs w:val="24"/>
          <w:lang w:eastAsia="en-US"/>
        </w:rPr>
        <w:t>транспортных средств</w:t>
      </w:r>
      <w:r w:rsidRPr="00FF692C">
        <w:rPr>
          <w:rFonts w:eastAsiaTheme="minorHAnsi"/>
          <w:sz w:val="24"/>
          <w:szCs w:val="24"/>
          <w:lang w:eastAsia="en-US"/>
        </w:rPr>
        <w:t xml:space="preserve"> и выводится средний балл</w:t>
      </w:r>
      <w:r>
        <w:rPr>
          <w:rFonts w:eastAsiaTheme="minorHAnsi"/>
          <w:sz w:val="24"/>
          <w:szCs w:val="24"/>
          <w:lang w:eastAsia="en-US"/>
        </w:rPr>
        <w:t xml:space="preserve">) и впоследствии их суммирует, </w:t>
      </w:r>
      <w:r w:rsidRPr="008C781C">
        <w:rPr>
          <w:rFonts w:eastAsiaTheme="minorHAnsi"/>
          <w:sz w:val="24"/>
          <w:szCs w:val="24"/>
          <w:lang w:eastAsia="en-US"/>
        </w:rPr>
        <w:t>за исключением</w:t>
      </w:r>
      <w:proofErr w:type="gramEnd"/>
      <w:r w:rsidRPr="008C781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баллов </w:t>
      </w:r>
      <w:r w:rsidRPr="008C781C">
        <w:rPr>
          <w:rFonts w:eastAsiaTheme="minorHAnsi"/>
          <w:sz w:val="24"/>
          <w:szCs w:val="24"/>
          <w:lang w:eastAsia="en-US"/>
        </w:rPr>
        <w:t xml:space="preserve">критерия, предусмотренного пунктом 1 </w:t>
      </w:r>
      <w:r>
        <w:rPr>
          <w:rFonts w:eastAsiaTheme="minorHAnsi"/>
          <w:sz w:val="24"/>
          <w:szCs w:val="24"/>
          <w:lang w:eastAsia="en-US"/>
        </w:rPr>
        <w:t>Шкалы для оценки критериев</w:t>
      </w:r>
      <w:r w:rsidRPr="008C781C">
        <w:rPr>
          <w:rFonts w:eastAsiaTheme="minorHAnsi"/>
          <w:sz w:val="24"/>
          <w:szCs w:val="24"/>
          <w:lang w:eastAsia="en-US"/>
        </w:rPr>
        <w:t>, которы</w:t>
      </w:r>
      <w:r>
        <w:rPr>
          <w:rFonts w:eastAsiaTheme="minorHAnsi"/>
          <w:sz w:val="24"/>
          <w:szCs w:val="24"/>
          <w:lang w:eastAsia="en-US"/>
        </w:rPr>
        <w:t>е</w:t>
      </w:r>
      <w:r w:rsidRPr="008C781C">
        <w:rPr>
          <w:rFonts w:eastAsiaTheme="minorHAnsi"/>
          <w:sz w:val="24"/>
          <w:szCs w:val="24"/>
          <w:lang w:eastAsia="en-US"/>
        </w:rPr>
        <w:t xml:space="preserve"> вычита</w:t>
      </w:r>
      <w:r>
        <w:rPr>
          <w:rFonts w:eastAsiaTheme="minorHAnsi"/>
          <w:sz w:val="24"/>
          <w:szCs w:val="24"/>
          <w:lang w:eastAsia="en-US"/>
        </w:rPr>
        <w:t>ю</w:t>
      </w:r>
      <w:r w:rsidRPr="008C781C">
        <w:rPr>
          <w:rFonts w:eastAsiaTheme="minorHAnsi"/>
          <w:sz w:val="24"/>
          <w:szCs w:val="24"/>
          <w:lang w:eastAsia="en-US"/>
        </w:rPr>
        <w:t>тся из общей суммы баллов.</w:t>
      </w:r>
    </w:p>
    <w:p w:rsidR="000E2D5A" w:rsidRPr="0049646C" w:rsidRDefault="000E2D5A" w:rsidP="000E2D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057CAA" w:rsidRDefault="00057CAA" w:rsidP="00CA7075">
      <w:pPr>
        <w:pStyle w:val="ConsPlusNormal"/>
        <w:jc w:val="both"/>
        <w:rPr>
          <w:szCs w:val="24"/>
        </w:rPr>
      </w:pPr>
    </w:p>
    <w:p w:rsidR="00057CAA" w:rsidRDefault="00057CA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sectPr w:rsidR="000E2D5A" w:rsidSect="00E73410">
      <w:headerReference w:type="firs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D8" w:rsidRDefault="00B93BD8" w:rsidP="00E73410">
      <w:r>
        <w:separator/>
      </w:r>
    </w:p>
  </w:endnote>
  <w:endnote w:type="continuationSeparator" w:id="0">
    <w:p w:rsidR="00B93BD8" w:rsidRDefault="00B93BD8" w:rsidP="00E7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D8" w:rsidRDefault="00B93BD8" w:rsidP="00E73410">
      <w:r>
        <w:separator/>
      </w:r>
    </w:p>
  </w:footnote>
  <w:footnote w:type="continuationSeparator" w:id="0">
    <w:p w:rsidR="00B93BD8" w:rsidRDefault="00B93BD8" w:rsidP="00E73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539019"/>
      <w:docPartObj>
        <w:docPartGallery w:val="Page Numbers (Top of Page)"/>
        <w:docPartUnique/>
      </w:docPartObj>
    </w:sdtPr>
    <w:sdtEndPr/>
    <w:sdtContent>
      <w:p w:rsidR="00E73410" w:rsidRDefault="00E734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3410" w:rsidRDefault="00E7341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B9"/>
    <w:rsid w:val="00025201"/>
    <w:rsid w:val="00050CD0"/>
    <w:rsid w:val="00052F22"/>
    <w:rsid w:val="00056D59"/>
    <w:rsid w:val="00057CAA"/>
    <w:rsid w:val="00060905"/>
    <w:rsid w:val="00063B26"/>
    <w:rsid w:val="00065C98"/>
    <w:rsid w:val="0008067E"/>
    <w:rsid w:val="00087286"/>
    <w:rsid w:val="000A6781"/>
    <w:rsid w:val="000B3DCE"/>
    <w:rsid w:val="000B7A75"/>
    <w:rsid w:val="000D4996"/>
    <w:rsid w:val="000E2D5A"/>
    <w:rsid w:val="000F2683"/>
    <w:rsid w:val="000F73BB"/>
    <w:rsid w:val="00103E8F"/>
    <w:rsid w:val="00106825"/>
    <w:rsid w:val="0011332B"/>
    <w:rsid w:val="00115E7B"/>
    <w:rsid w:val="00124EB0"/>
    <w:rsid w:val="00147181"/>
    <w:rsid w:val="00165EDE"/>
    <w:rsid w:val="00166782"/>
    <w:rsid w:val="00181507"/>
    <w:rsid w:val="001829AB"/>
    <w:rsid w:val="00184F18"/>
    <w:rsid w:val="0019415A"/>
    <w:rsid w:val="001944C1"/>
    <w:rsid w:val="001A23DE"/>
    <w:rsid w:val="001A4336"/>
    <w:rsid w:val="001C0351"/>
    <w:rsid w:val="001C5E95"/>
    <w:rsid w:val="001E02A8"/>
    <w:rsid w:val="00204EEB"/>
    <w:rsid w:val="00267E5B"/>
    <w:rsid w:val="00287A88"/>
    <w:rsid w:val="002B3466"/>
    <w:rsid w:val="002E678B"/>
    <w:rsid w:val="00303A0E"/>
    <w:rsid w:val="003058BF"/>
    <w:rsid w:val="00307316"/>
    <w:rsid w:val="003258E7"/>
    <w:rsid w:val="00351FE3"/>
    <w:rsid w:val="003734A1"/>
    <w:rsid w:val="00374257"/>
    <w:rsid w:val="0038194A"/>
    <w:rsid w:val="003832FA"/>
    <w:rsid w:val="00385C68"/>
    <w:rsid w:val="00393AF7"/>
    <w:rsid w:val="00394464"/>
    <w:rsid w:val="003A3D9F"/>
    <w:rsid w:val="003A7415"/>
    <w:rsid w:val="003C0CDF"/>
    <w:rsid w:val="003D146C"/>
    <w:rsid w:val="003D4B65"/>
    <w:rsid w:val="003E685D"/>
    <w:rsid w:val="003F0A0E"/>
    <w:rsid w:val="003F1981"/>
    <w:rsid w:val="00402DBC"/>
    <w:rsid w:val="004177AD"/>
    <w:rsid w:val="00431999"/>
    <w:rsid w:val="004326B7"/>
    <w:rsid w:val="00436C0E"/>
    <w:rsid w:val="00440146"/>
    <w:rsid w:val="004414B9"/>
    <w:rsid w:val="004415BC"/>
    <w:rsid w:val="00454D3A"/>
    <w:rsid w:val="00457F6A"/>
    <w:rsid w:val="00467807"/>
    <w:rsid w:val="0048564C"/>
    <w:rsid w:val="0049646C"/>
    <w:rsid w:val="004A215A"/>
    <w:rsid w:val="004C0C80"/>
    <w:rsid w:val="004C1929"/>
    <w:rsid w:val="004C42A4"/>
    <w:rsid w:val="004E35B6"/>
    <w:rsid w:val="004E4042"/>
    <w:rsid w:val="004E57E4"/>
    <w:rsid w:val="004F0A81"/>
    <w:rsid w:val="0050207A"/>
    <w:rsid w:val="00506D6B"/>
    <w:rsid w:val="00522BE6"/>
    <w:rsid w:val="005335CF"/>
    <w:rsid w:val="00541C66"/>
    <w:rsid w:val="00567165"/>
    <w:rsid w:val="00585A1C"/>
    <w:rsid w:val="005A5D43"/>
    <w:rsid w:val="005C71F0"/>
    <w:rsid w:val="005E02DC"/>
    <w:rsid w:val="005E76EF"/>
    <w:rsid w:val="005F4A2E"/>
    <w:rsid w:val="00601822"/>
    <w:rsid w:val="00602258"/>
    <w:rsid w:val="00620C3B"/>
    <w:rsid w:val="00634E6B"/>
    <w:rsid w:val="00637406"/>
    <w:rsid w:val="006423F8"/>
    <w:rsid w:val="00645C05"/>
    <w:rsid w:val="00646DEA"/>
    <w:rsid w:val="00652A42"/>
    <w:rsid w:val="00674E70"/>
    <w:rsid w:val="00681B86"/>
    <w:rsid w:val="006C085C"/>
    <w:rsid w:val="006E62EB"/>
    <w:rsid w:val="006F0052"/>
    <w:rsid w:val="006F0F27"/>
    <w:rsid w:val="00711214"/>
    <w:rsid w:val="00731FF2"/>
    <w:rsid w:val="007474CA"/>
    <w:rsid w:val="0076314C"/>
    <w:rsid w:val="00764209"/>
    <w:rsid w:val="0078483A"/>
    <w:rsid w:val="00786364"/>
    <w:rsid w:val="00791DD2"/>
    <w:rsid w:val="007A64DC"/>
    <w:rsid w:val="007C3405"/>
    <w:rsid w:val="007D0CF8"/>
    <w:rsid w:val="007E004E"/>
    <w:rsid w:val="007E5F49"/>
    <w:rsid w:val="00842BB5"/>
    <w:rsid w:val="00861578"/>
    <w:rsid w:val="008B4D11"/>
    <w:rsid w:val="008B6611"/>
    <w:rsid w:val="008B6AB1"/>
    <w:rsid w:val="008C781C"/>
    <w:rsid w:val="00901C28"/>
    <w:rsid w:val="0090524B"/>
    <w:rsid w:val="0093406B"/>
    <w:rsid w:val="0094200C"/>
    <w:rsid w:val="00951E6E"/>
    <w:rsid w:val="00956973"/>
    <w:rsid w:val="00960485"/>
    <w:rsid w:val="009625E2"/>
    <w:rsid w:val="009633FC"/>
    <w:rsid w:val="0096349D"/>
    <w:rsid w:val="009C5694"/>
    <w:rsid w:val="009D1671"/>
    <w:rsid w:val="009D6A63"/>
    <w:rsid w:val="009F797E"/>
    <w:rsid w:val="00A22C87"/>
    <w:rsid w:val="00A26270"/>
    <w:rsid w:val="00A34C5C"/>
    <w:rsid w:val="00A6130B"/>
    <w:rsid w:val="00A67E4E"/>
    <w:rsid w:val="00A81192"/>
    <w:rsid w:val="00A836C3"/>
    <w:rsid w:val="00A84141"/>
    <w:rsid w:val="00A84472"/>
    <w:rsid w:val="00A93F5F"/>
    <w:rsid w:val="00AA267B"/>
    <w:rsid w:val="00AC4B3C"/>
    <w:rsid w:val="00AC60A1"/>
    <w:rsid w:val="00AC7A7E"/>
    <w:rsid w:val="00AE403D"/>
    <w:rsid w:val="00AF7988"/>
    <w:rsid w:val="00B03D3A"/>
    <w:rsid w:val="00B0525F"/>
    <w:rsid w:val="00B05286"/>
    <w:rsid w:val="00B509E5"/>
    <w:rsid w:val="00B65CD7"/>
    <w:rsid w:val="00B93BD8"/>
    <w:rsid w:val="00B955E6"/>
    <w:rsid w:val="00BA3B15"/>
    <w:rsid w:val="00BB7B1A"/>
    <w:rsid w:val="00BC1BDE"/>
    <w:rsid w:val="00BD3C69"/>
    <w:rsid w:val="00BE2B44"/>
    <w:rsid w:val="00BE45B8"/>
    <w:rsid w:val="00C011CF"/>
    <w:rsid w:val="00C10AE2"/>
    <w:rsid w:val="00C23E0D"/>
    <w:rsid w:val="00C373BC"/>
    <w:rsid w:val="00C50DD1"/>
    <w:rsid w:val="00C530C9"/>
    <w:rsid w:val="00C60759"/>
    <w:rsid w:val="00C6486A"/>
    <w:rsid w:val="00C73406"/>
    <w:rsid w:val="00C84AF3"/>
    <w:rsid w:val="00CA7075"/>
    <w:rsid w:val="00CC38AD"/>
    <w:rsid w:val="00CD2CD4"/>
    <w:rsid w:val="00D05E21"/>
    <w:rsid w:val="00D179AB"/>
    <w:rsid w:val="00D235B7"/>
    <w:rsid w:val="00D4078F"/>
    <w:rsid w:val="00D45EDA"/>
    <w:rsid w:val="00D46E85"/>
    <w:rsid w:val="00D5015D"/>
    <w:rsid w:val="00D618C6"/>
    <w:rsid w:val="00D64F2F"/>
    <w:rsid w:val="00D73546"/>
    <w:rsid w:val="00D7479B"/>
    <w:rsid w:val="00D874CC"/>
    <w:rsid w:val="00D949D2"/>
    <w:rsid w:val="00DC0B25"/>
    <w:rsid w:val="00DF08EC"/>
    <w:rsid w:val="00DF2B47"/>
    <w:rsid w:val="00DF5FDC"/>
    <w:rsid w:val="00E174D8"/>
    <w:rsid w:val="00E25E29"/>
    <w:rsid w:val="00E461A3"/>
    <w:rsid w:val="00E70A20"/>
    <w:rsid w:val="00E73173"/>
    <w:rsid w:val="00E73410"/>
    <w:rsid w:val="00E77E4C"/>
    <w:rsid w:val="00EB24BF"/>
    <w:rsid w:val="00EF2AE2"/>
    <w:rsid w:val="00F05A73"/>
    <w:rsid w:val="00F2201D"/>
    <w:rsid w:val="00F25B02"/>
    <w:rsid w:val="00F312ED"/>
    <w:rsid w:val="00F66DF4"/>
    <w:rsid w:val="00F850B1"/>
    <w:rsid w:val="00F90885"/>
    <w:rsid w:val="00FA70AF"/>
    <w:rsid w:val="00FB3D2F"/>
    <w:rsid w:val="00FC2E79"/>
    <w:rsid w:val="00FC7DA3"/>
    <w:rsid w:val="00FD0A39"/>
    <w:rsid w:val="00FD7834"/>
    <w:rsid w:val="00FE62D4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05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7CAA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4B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414B9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414B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Plain Text"/>
    <w:basedOn w:val="a"/>
    <w:link w:val="a4"/>
    <w:rsid w:val="0006090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60905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Обычный1"/>
    <w:rsid w:val="00063B26"/>
    <w:pPr>
      <w:ind w:firstLine="0"/>
      <w:jc w:val="left"/>
    </w:pPr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49646C"/>
    <w:pPr>
      <w:ind w:left="720"/>
      <w:contextualSpacing/>
    </w:pPr>
  </w:style>
  <w:style w:type="table" w:styleId="a6">
    <w:name w:val="Table Grid"/>
    <w:basedOn w:val="a1"/>
    <w:uiPriority w:val="59"/>
    <w:rsid w:val="00585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30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0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57CAA"/>
    <w:rPr>
      <w:rFonts w:eastAsia="Times New Roman"/>
      <w:szCs w:val="20"/>
      <w:lang w:eastAsia="ru-RU"/>
    </w:rPr>
  </w:style>
  <w:style w:type="paragraph" w:customStyle="1" w:styleId="ConsNonformat">
    <w:name w:val="ConsNonformat"/>
    <w:rsid w:val="00057CAA"/>
    <w:pPr>
      <w:ind w:firstLine="0"/>
      <w:jc w:val="left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34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3410"/>
    <w:rPr>
      <w:rFonts w:eastAsia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734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3410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05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7CAA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4B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414B9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414B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Plain Text"/>
    <w:basedOn w:val="a"/>
    <w:link w:val="a4"/>
    <w:rsid w:val="0006090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60905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Обычный1"/>
    <w:rsid w:val="00063B26"/>
    <w:pPr>
      <w:ind w:firstLine="0"/>
      <w:jc w:val="left"/>
    </w:pPr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49646C"/>
    <w:pPr>
      <w:ind w:left="720"/>
      <w:contextualSpacing/>
    </w:pPr>
  </w:style>
  <w:style w:type="table" w:styleId="a6">
    <w:name w:val="Table Grid"/>
    <w:basedOn w:val="a1"/>
    <w:uiPriority w:val="59"/>
    <w:rsid w:val="00585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30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0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57CAA"/>
    <w:rPr>
      <w:rFonts w:eastAsia="Times New Roman"/>
      <w:szCs w:val="20"/>
      <w:lang w:eastAsia="ru-RU"/>
    </w:rPr>
  </w:style>
  <w:style w:type="paragraph" w:customStyle="1" w:styleId="ConsNonformat">
    <w:name w:val="ConsNonformat"/>
    <w:rsid w:val="00057CAA"/>
    <w:pPr>
      <w:ind w:firstLine="0"/>
      <w:jc w:val="left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34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3410"/>
    <w:rPr>
      <w:rFonts w:eastAsia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734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3410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7308-C41B-44D5-8DF7-6997FD80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Владимирович Горбатов</dc:creator>
  <cp:lastModifiedBy>Наталья Сергеевна Голубева</cp:lastModifiedBy>
  <cp:revision>10</cp:revision>
  <cp:lastPrinted>2016-06-10T11:03:00Z</cp:lastPrinted>
  <dcterms:created xsi:type="dcterms:W3CDTF">2016-06-08T07:28:00Z</dcterms:created>
  <dcterms:modified xsi:type="dcterms:W3CDTF">2016-06-16T05:51:00Z</dcterms:modified>
</cp:coreProperties>
</file>