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6D" w:rsidRDefault="00867A6D" w:rsidP="00867A6D">
      <w:pPr>
        <w:jc w:val="center"/>
      </w:pPr>
    </w:p>
    <w:p w:rsidR="00867A6D" w:rsidRDefault="00867A6D" w:rsidP="00867A6D">
      <w:pPr>
        <w:jc w:val="center"/>
      </w:pPr>
    </w:p>
    <w:p w:rsidR="00867A6D" w:rsidRDefault="00867A6D" w:rsidP="00867A6D">
      <w:pPr>
        <w:jc w:val="center"/>
      </w:pPr>
    </w:p>
    <w:p w:rsidR="00867A6D" w:rsidRDefault="00867A6D" w:rsidP="00867A6D">
      <w:pPr>
        <w:jc w:val="center"/>
      </w:pPr>
    </w:p>
    <w:p w:rsidR="00867A6D" w:rsidRDefault="00867A6D" w:rsidP="00867A6D">
      <w:pPr>
        <w:jc w:val="center"/>
      </w:pPr>
    </w:p>
    <w:p w:rsidR="00867A6D" w:rsidRDefault="00867A6D" w:rsidP="00867A6D">
      <w:pPr>
        <w:jc w:val="center"/>
      </w:pPr>
    </w:p>
    <w:p w:rsidR="00867A6D" w:rsidRDefault="00867A6D" w:rsidP="00867A6D">
      <w:pPr>
        <w:jc w:val="center"/>
      </w:pPr>
      <w:bookmarkStart w:id="0" w:name="_GoBack"/>
      <w:bookmarkEnd w:id="0"/>
    </w:p>
    <w:p w:rsidR="00867A6D" w:rsidRPr="00867A6D" w:rsidRDefault="00BB6D28" w:rsidP="00867A6D">
      <w:pPr>
        <w:widowControl w:val="0"/>
        <w:autoSpaceDE w:val="0"/>
        <w:autoSpaceDN w:val="0"/>
        <w:adjustRightInd w:val="0"/>
        <w:ind w:firstLine="709"/>
        <w:jc w:val="both"/>
      </w:pPr>
      <w:r w:rsidRPr="00867A6D">
        <w:t xml:space="preserve"> </w:t>
      </w:r>
      <w:r w:rsidR="00867A6D" w:rsidRPr="00867A6D">
        <w:t xml:space="preserve">«2. </w:t>
      </w:r>
      <w:proofErr w:type="gramStart"/>
      <w:r w:rsidR="00867A6D" w:rsidRPr="00867A6D">
        <w:t xml:space="preserve">Показателем (индикатором), характеризующим эффективность мероприятий </w:t>
      </w:r>
      <w:r w:rsidR="00867A6D">
        <w:t xml:space="preserve">                 </w:t>
      </w:r>
      <w:r w:rsidR="00867A6D" w:rsidRPr="00867A6D">
        <w:t xml:space="preserve">по совершенствованию системы оплаты труда работников муниципальных учреждений культуры города Иванова, является динамика примерных (индикативных) значений соотношения средней заработной платы работников муниципальных учреждений культуры города Иванова, повышение оплаты труда которых предусмотрено </w:t>
      </w:r>
      <w:hyperlink r:id="rId8" w:history="1">
        <w:r w:rsidR="00867A6D" w:rsidRPr="00867A6D">
          <w:t>Указом</w:t>
        </w:r>
      </w:hyperlink>
      <w:r w:rsidR="00867A6D" w:rsidRPr="00867A6D">
        <w:t xml:space="preserve"> Президента Российской Федерации от 07.05.2012 № 597 «О мероприятиях по реализации государственной социальной политики», и средней заработной платы в Ивановской области:</w:t>
      </w:r>
      <w:proofErr w:type="gramEnd"/>
    </w:p>
    <w:p w:rsidR="00867A6D" w:rsidRPr="00867A6D" w:rsidRDefault="00867A6D" w:rsidP="00867A6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67A6D">
        <w:rPr>
          <w:sz w:val="22"/>
          <w:szCs w:val="22"/>
        </w:rPr>
        <w:t>(процентов)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1559"/>
        <w:gridCol w:w="1418"/>
        <w:gridCol w:w="1701"/>
      </w:tblGrid>
      <w:tr w:rsidR="00867A6D" w:rsidRPr="00867A6D" w:rsidTr="00867A6D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2013 г.</w:t>
            </w:r>
          </w:p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(факт)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2014 г.</w:t>
            </w:r>
          </w:p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2015 г.</w:t>
            </w:r>
          </w:p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2016 г.</w:t>
            </w:r>
          </w:p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2017 г.</w:t>
            </w:r>
          </w:p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(факт)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2018 г.</w:t>
            </w:r>
          </w:p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7A6D" w:rsidRPr="00867A6D" w:rsidTr="00867A6D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D" w:rsidRPr="00867A6D" w:rsidRDefault="00867A6D" w:rsidP="00867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100,0</w:t>
            </w:r>
          </w:p>
        </w:tc>
      </w:tr>
    </w:tbl>
    <w:p w:rsidR="00867A6D" w:rsidRDefault="00867A6D" w:rsidP="00867A6D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67A6D" w:rsidRPr="00867A6D" w:rsidRDefault="00867A6D" w:rsidP="00867A6D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7A6D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</w:t>
      </w:r>
    </w:p>
    <w:p w:rsidR="00867A6D" w:rsidRPr="00867A6D" w:rsidRDefault="00867A6D" w:rsidP="00867A6D">
      <w:pPr>
        <w:spacing w:after="1" w:line="240" w:lineRule="atLeast"/>
        <w:jc w:val="center"/>
      </w:pPr>
      <w:r w:rsidRPr="00867A6D">
        <w:t>муниципальных учреждений культуры города Иванова</w:t>
      </w:r>
    </w:p>
    <w:p w:rsidR="00867A6D" w:rsidRPr="00867A6D" w:rsidRDefault="00867A6D" w:rsidP="00867A6D">
      <w:pPr>
        <w:spacing w:after="1" w:line="240" w:lineRule="atLeast"/>
        <w:jc w:val="right"/>
        <w:rPr>
          <w:sz w:val="22"/>
          <w:szCs w:val="22"/>
        </w:rPr>
      </w:pPr>
      <w:r w:rsidRPr="00867A6D">
        <w:rPr>
          <w:sz w:val="22"/>
          <w:szCs w:val="22"/>
        </w:rPr>
        <w:t>(человек)</w:t>
      </w:r>
    </w:p>
    <w:tbl>
      <w:tblPr>
        <w:tblW w:w="941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587"/>
        <w:gridCol w:w="1418"/>
        <w:gridCol w:w="1559"/>
        <w:gridCol w:w="1701"/>
        <w:gridCol w:w="1510"/>
      </w:tblGrid>
      <w:tr w:rsidR="00867A6D" w:rsidRPr="00867A6D" w:rsidTr="00867A6D">
        <w:trPr>
          <w:jc w:val="center"/>
        </w:trPr>
        <w:tc>
          <w:tcPr>
            <w:tcW w:w="1644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2013 г.</w:t>
            </w:r>
          </w:p>
        </w:tc>
        <w:tc>
          <w:tcPr>
            <w:tcW w:w="1587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2014 г.</w:t>
            </w:r>
          </w:p>
        </w:tc>
        <w:tc>
          <w:tcPr>
            <w:tcW w:w="1418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2015 г.</w:t>
            </w:r>
          </w:p>
        </w:tc>
        <w:tc>
          <w:tcPr>
            <w:tcW w:w="1559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2016 г.</w:t>
            </w:r>
          </w:p>
        </w:tc>
        <w:tc>
          <w:tcPr>
            <w:tcW w:w="1701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2017 г.</w:t>
            </w:r>
          </w:p>
        </w:tc>
        <w:tc>
          <w:tcPr>
            <w:tcW w:w="1510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2018 г.</w:t>
            </w:r>
          </w:p>
        </w:tc>
      </w:tr>
      <w:tr w:rsidR="00867A6D" w:rsidRPr="00867A6D" w:rsidTr="00867A6D">
        <w:trPr>
          <w:jc w:val="center"/>
        </w:trPr>
        <w:tc>
          <w:tcPr>
            <w:tcW w:w="1644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371</w:t>
            </w:r>
          </w:p>
        </w:tc>
        <w:tc>
          <w:tcPr>
            <w:tcW w:w="1587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367</w:t>
            </w:r>
          </w:p>
        </w:tc>
        <w:tc>
          <w:tcPr>
            <w:tcW w:w="1418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361</w:t>
            </w:r>
          </w:p>
        </w:tc>
        <w:tc>
          <w:tcPr>
            <w:tcW w:w="1559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360,4</w:t>
            </w:r>
          </w:p>
        </w:tc>
        <w:tc>
          <w:tcPr>
            <w:tcW w:w="1701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355,3</w:t>
            </w:r>
          </w:p>
        </w:tc>
        <w:tc>
          <w:tcPr>
            <w:tcW w:w="1510" w:type="dxa"/>
          </w:tcPr>
          <w:p w:rsidR="00867A6D" w:rsidRPr="00867A6D" w:rsidRDefault="00867A6D" w:rsidP="00867A6D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361</w:t>
            </w:r>
          </w:p>
        </w:tc>
      </w:tr>
    </w:tbl>
    <w:p w:rsidR="00867A6D" w:rsidRPr="00867A6D" w:rsidRDefault="00867A6D" w:rsidP="00867A6D">
      <w:pPr>
        <w:jc w:val="right"/>
      </w:pPr>
      <w:r w:rsidRPr="00867A6D">
        <w:t xml:space="preserve"> ».</w:t>
      </w:r>
    </w:p>
    <w:sectPr w:rsidR="00867A6D" w:rsidRPr="00867A6D" w:rsidSect="00867A6D">
      <w:headerReference w:type="default" r:id="rId9"/>
      <w:pgSz w:w="11906" w:h="16838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53" w:rsidRDefault="00486C53">
      <w:r>
        <w:separator/>
      </w:r>
    </w:p>
  </w:endnote>
  <w:endnote w:type="continuationSeparator" w:id="0">
    <w:p w:rsidR="00486C53" w:rsidRDefault="0048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53" w:rsidRDefault="00486C53">
      <w:r>
        <w:separator/>
      </w:r>
    </w:p>
  </w:footnote>
  <w:footnote w:type="continuationSeparator" w:id="0">
    <w:p w:rsidR="00486C53" w:rsidRDefault="0048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04624"/>
      <w:docPartObj>
        <w:docPartGallery w:val="Page Numbers (Top of Page)"/>
        <w:docPartUnique/>
      </w:docPartObj>
    </w:sdtPr>
    <w:sdtEndPr/>
    <w:sdtContent>
      <w:p w:rsidR="00867A6D" w:rsidRDefault="00867A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D28">
          <w:rPr>
            <w:noProof/>
          </w:rPr>
          <w:t>5</w:t>
        </w:r>
        <w:r>
          <w:fldChar w:fldCharType="end"/>
        </w:r>
      </w:p>
    </w:sdtContent>
  </w:sdt>
  <w:p w:rsidR="00867A6D" w:rsidRDefault="00867A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0F1"/>
    <w:multiLevelType w:val="hybridMultilevel"/>
    <w:tmpl w:val="D5D6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7501"/>
    <w:rsid w:val="00051F80"/>
    <w:rsid w:val="00066203"/>
    <w:rsid w:val="000B2E02"/>
    <w:rsid w:val="00111ED1"/>
    <w:rsid w:val="001606CE"/>
    <w:rsid w:val="00170C68"/>
    <w:rsid w:val="00174AA9"/>
    <w:rsid w:val="0018287F"/>
    <w:rsid w:val="001A1BD1"/>
    <w:rsid w:val="001B5445"/>
    <w:rsid w:val="00252BB4"/>
    <w:rsid w:val="00295C73"/>
    <w:rsid w:val="002D2EB9"/>
    <w:rsid w:val="002E75DD"/>
    <w:rsid w:val="002F3E72"/>
    <w:rsid w:val="002F5703"/>
    <w:rsid w:val="00302208"/>
    <w:rsid w:val="00313D5D"/>
    <w:rsid w:val="00314BD9"/>
    <w:rsid w:val="0034670D"/>
    <w:rsid w:val="003546D4"/>
    <w:rsid w:val="00363CDB"/>
    <w:rsid w:val="00366C62"/>
    <w:rsid w:val="00371D1F"/>
    <w:rsid w:val="00396B07"/>
    <w:rsid w:val="003A2AA8"/>
    <w:rsid w:val="003E2A98"/>
    <w:rsid w:val="004017F7"/>
    <w:rsid w:val="00425A7E"/>
    <w:rsid w:val="00434DFC"/>
    <w:rsid w:val="00436447"/>
    <w:rsid w:val="00486C53"/>
    <w:rsid w:val="004A3584"/>
    <w:rsid w:val="004B638E"/>
    <w:rsid w:val="004C160C"/>
    <w:rsid w:val="004C38C5"/>
    <w:rsid w:val="004C5183"/>
    <w:rsid w:val="0051577D"/>
    <w:rsid w:val="005B4883"/>
    <w:rsid w:val="005D2379"/>
    <w:rsid w:val="005E422B"/>
    <w:rsid w:val="005F3657"/>
    <w:rsid w:val="00607902"/>
    <w:rsid w:val="00616AE9"/>
    <w:rsid w:val="00635629"/>
    <w:rsid w:val="00646C3D"/>
    <w:rsid w:val="0065430D"/>
    <w:rsid w:val="006A27A6"/>
    <w:rsid w:val="006E0860"/>
    <w:rsid w:val="00722C6E"/>
    <w:rsid w:val="007249B0"/>
    <w:rsid w:val="00730732"/>
    <w:rsid w:val="00732425"/>
    <w:rsid w:val="00742D6E"/>
    <w:rsid w:val="007436C0"/>
    <w:rsid w:val="007928F5"/>
    <w:rsid w:val="00795E14"/>
    <w:rsid w:val="007B53BF"/>
    <w:rsid w:val="007C7547"/>
    <w:rsid w:val="00815681"/>
    <w:rsid w:val="00867A6D"/>
    <w:rsid w:val="008B7B1F"/>
    <w:rsid w:val="0091412B"/>
    <w:rsid w:val="009250A9"/>
    <w:rsid w:val="00942152"/>
    <w:rsid w:val="0095338F"/>
    <w:rsid w:val="00967914"/>
    <w:rsid w:val="009B549C"/>
    <w:rsid w:val="009C7209"/>
    <w:rsid w:val="009E2891"/>
    <w:rsid w:val="009E70BB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B30F4C"/>
    <w:rsid w:val="00B31378"/>
    <w:rsid w:val="00B31FB6"/>
    <w:rsid w:val="00B33545"/>
    <w:rsid w:val="00B60A1E"/>
    <w:rsid w:val="00B9679E"/>
    <w:rsid w:val="00BB6D28"/>
    <w:rsid w:val="00BD6B78"/>
    <w:rsid w:val="00C143DB"/>
    <w:rsid w:val="00C15C92"/>
    <w:rsid w:val="00C21F7E"/>
    <w:rsid w:val="00C470DF"/>
    <w:rsid w:val="00C54972"/>
    <w:rsid w:val="00C67C1D"/>
    <w:rsid w:val="00C979DD"/>
    <w:rsid w:val="00CC74B7"/>
    <w:rsid w:val="00CD630F"/>
    <w:rsid w:val="00CE416C"/>
    <w:rsid w:val="00D10FD9"/>
    <w:rsid w:val="00D3235D"/>
    <w:rsid w:val="00D526D3"/>
    <w:rsid w:val="00D65A60"/>
    <w:rsid w:val="00D660D7"/>
    <w:rsid w:val="00D9257B"/>
    <w:rsid w:val="00DA2784"/>
    <w:rsid w:val="00DB6F88"/>
    <w:rsid w:val="00DE6187"/>
    <w:rsid w:val="00E02130"/>
    <w:rsid w:val="00E242DD"/>
    <w:rsid w:val="00E35DF5"/>
    <w:rsid w:val="00E43A6C"/>
    <w:rsid w:val="00EB771B"/>
    <w:rsid w:val="00EC3614"/>
    <w:rsid w:val="00EC4800"/>
    <w:rsid w:val="00EF3F32"/>
    <w:rsid w:val="00F037D3"/>
    <w:rsid w:val="00F06640"/>
    <w:rsid w:val="00F12644"/>
    <w:rsid w:val="00F73F21"/>
    <w:rsid w:val="00F977FF"/>
    <w:rsid w:val="00FA710A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2F5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-Gramma">
    <w:name w:val="Pro-Gramma"/>
    <w:basedOn w:val="a"/>
    <w:rsid w:val="002F5703"/>
    <w:pPr>
      <w:suppressAutoHyphens/>
      <w:spacing w:before="120" w:line="288" w:lineRule="auto"/>
      <w:ind w:left="1134"/>
      <w:jc w:val="both"/>
    </w:pPr>
    <w:rPr>
      <w:rFonts w:ascii="Georgia" w:eastAsia="Calibri" w:hAnsi="Georgia"/>
      <w:sz w:val="22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67A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2F5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-Gramma">
    <w:name w:val="Pro-Gramma"/>
    <w:basedOn w:val="a"/>
    <w:rsid w:val="002F5703"/>
    <w:pPr>
      <w:suppressAutoHyphens/>
      <w:spacing w:before="120" w:line="288" w:lineRule="auto"/>
      <w:ind w:left="1134"/>
      <w:jc w:val="both"/>
    </w:pPr>
    <w:rPr>
      <w:rFonts w:ascii="Georgia" w:eastAsia="Calibri" w:hAnsi="Georgia"/>
      <w:sz w:val="22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67A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C3C7D14DB9327185826D6942ED09A53242C27440CCAF5CFDD85B8CA7AN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2018-08-06T08:20:00Z</cp:lastPrinted>
  <dcterms:created xsi:type="dcterms:W3CDTF">2018-08-07T08:52:00Z</dcterms:created>
  <dcterms:modified xsi:type="dcterms:W3CDTF">2018-08-08T05:59:00Z</dcterms:modified>
</cp:coreProperties>
</file>