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B3" w:rsidRPr="009556B3" w:rsidRDefault="009556B3" w:rsidP="009556B3">
      <w:pPr>
        <w:jc w:val="right"/>
        <w:rPr>
          <w:rStyle w:val="FontStyle67"/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  <w:r w:rsidRPr="009556B3">
        <w:rPr>
          <w:rStyle w:val="FontStyle72"/>
          <w:rFonts w:ascii="Times New Roman" w:hAnsi="Times New Roman" w:cs="Times New Roman"/>
          <w:b w:val="0"/>
          <w:sz w:val="24"/>
          <w:szCs w:val="24"/>
        </w:rPr>
        <w:t>Таблица 6</w:t>
      </w:r>
      <w:r w:rsidRPr="009556B3">
        <w:rPr>
          <w:rStyle w:val="FontStyle67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556B3" w:rsidRPr="009556B3" w:rsidRDefault="009556B3" w:rsidP="009556B3">
      <w:pPr>
        <w:jc w:val="center"/>
        <w:rPr>
          <w:rStyle w:val="FontStyle72"/>
          <w:rFonts w:ascii="Times New Roman" w:hAnsi="Times New Roman" w:cs="Times New Roman"/>
          <w:b w:val="0"/>
          <w:sz w:val="24"/>
          <w:szCs w:val="24"/>
        </w:rPr>
      </w:pPr>
      <w:r w:rsidRPr="009556B3">
        <w:rPr>
          <w:rStyle w:val="FontStyle72"/>
          <w:rFonts w:ascii="Times New Roman" w:hAnsi="Times New Roman" w:cs="Times New Roman"/>
          <w:b w:val="0"/>
          <w:sz w:val="24"/>
          <w:szCs w:val="24"/>
        </w:rPr>
        <w:t xml:space="preserve">Оценка </w:t>
      </w:r>
      <w:proofErr w:type="gramStart"/>
      <w:r w:rsidRPr="009556B3">
        <w:rPr>
          <w:rStyle w:val="FontStyle72"/>
          <w:rFonts w:ascii="Times New Roman" w:hAnsi="Times New Roman" w:cs="Times New Roman"/>
          <w:b w:val="0"/>
          <w:sz w:val="24"/>
          <w:szCs w:val="24"/>
        </w:rPr>
        <w:t>возникающих</w:t>
      </w:r>
      <w:proofErr w:type="gramEnd"/>
      <w:r w:rsidRPr="009556B3">
        <w:rPr>
          <w:rStyle w:val="FontStyle72"/>
          <w:rFonts w:ascii="Times New Roman" w:hAnsi="Times New Roman" w:cs="Times New Roman"/>
          <w:b w:val="0"/>
          <w:sz w:val="24"/>
          <w:szCs w:val="24"/>
        </w:rPr>
        <w:t xml:space="preserve"> в связи с реализацией Программы</w:t>
      </w:r>
    </w:p>
    <w:p w:rsidR="009556B3" w:rsidRPr="009556B3" w:rsidRDefault="009556B3" w:rsidP="009556B3">
      <w:pPr>
        <w:jc w:val="center"/>
        <w:rPr>
          <w:rStyle w:val="FontStyle72"/>
          <w:rFonts w:ascii="Times New Roman" w:hAnsi="Times New Roman" w:cs="Times New Roman"/>
          <w:b w:val="0"/>
          <w:sz w:val="24"/>
          <w:szCs w:val="24"/>
        </w:rPr>
      </w:pPr>
      <w:r w:rsidRPr="009556B3">
        <w:rPr>
          <w:rStyle w:val="FontStyle72"/>
          <w:rFonts w:ascii="Times New Roman" w:hAnsi="Times New Roman" w:cs="Times New Roman"/>
          <w:b w:val="0"/>
          <w:sz w:val="24"/>
          <w:szCs w:val="24"/>
        </w:rPr>
        <w:t>эксплуатационных расходов</w:t>
      </w:r>
    </w:p>
    <w:p w:rsidR="009556B3" w:rsidRPr="009556B3" w:rsidRDefault="009556B3" w:rsidP="009556B3">
      <w:pPr>
        <w:jc w:val="both"/>
      </w:pPr>
      <w:r w:rsidRPr="009556B3">
        <w:rPr>
          <w:color w:val="000000"/>
        </w:rPr>
        <w:t>«</w:t>
      </w:r>
    </w:p>
    <w:tbl>
      <w:tblPr>
        <w:tblW w:w="1026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2"/>
        <w:gridCol w:w="6668"/>
        <w:gridCol w:w="840"/>
        <w:gridCol w:w="840"/>
        <w:gridCol w:w="840"/>
      </w:tblGrid>
      <w:tr w:rsidR="009556B3" w:rsidRPr="009556B3" w:rsidTr="00121C4D">
        <w:tblPrEx>
          <w:tblCellMar>
            <w:top w:w="0" w:type="dxa"/>
            <w:bottom w:w="0" w:type="dxa"/>
          </w:tblCellMar>
        </w:tblPrEx>
        <w:trPr>
          <w:trHeight w:hRule="exact" w:val="873"/>
        </w:trPr>
        <w:tc>
          <w:tcPr>
            <w:tcW w:w="1072" w:type="dxa"/>
            <w:vMerge w:val="restart"/>
            <w:vAlign w:val="center"/>
          </w:tcPr>
          <w:p w:rsidR="009556B3" w:rsidRPr="009556B3" w:rsidRDefault="009556B3" w:rsidP="00121C4D">
            <w:pPr>
              <w:jc w:val="center"/>
            </w:pPr>
            <w:r w:rsidRPr="009556B3">
              <w:rPr>
                <w:rStyle w:val="FontStyle83"/>
                <w:b w:val="0"/>
                <w:sz w:val="24"/>
                <w:szCs w:val="24"/>
              </w:rPr>
              <w:t>№</w:t>
            </w:r>
          </w:p>
        </w:tc>
        <w:tc>
          <w:tcPr>
            <w:tcW w:w="6668" w:type="dxa"/>
            <w:vMerge w:val="restart"/>
            <w:vAlign w:val="center"/>
          </w:tcPr>
          <w:p w:rsidR="009556B3" w:rsidRPr="009556B3" w:rsidRDefault="009556B3" w:rsidP="00121C4D">
            <w:pPr>
              <w:jc w:val="center"/>
            </w:pPr>
            <w:r w:rsidRPr="009556B3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Наименование тактической задачи, мероприятия</w:t>
            </w:r>
          </w:p>
        </w:tc>
        <w:tc>
          <w:tcPr>
            <w:tcW w:w="2520" w:type="dxa"/>
            <w:gridSpan w:val="3"/>
            <w:vAlign w:val="center"/>
          </w:tcPr>
          <w:p w:rsidR="009556B3" w:rsidRPr="009556B3" w:rsidRDefault="009556B3" w:rsidP="00121C4D">
            <w:pPr>
              <w:jc w:val="center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556B3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Объем эксплуатационных расходов (тыс. руб.)</w:t>
            </w:r>
          </w:p>
        </w:tc>
      </w:tr>
      <w:tr w:rsidR="009556B3" w:rsidRPr="009556B3" w:rsidTr="00121C4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72" w:type="dxa"/>
            <w:vMerge/>
            <w:vAlign w:val="center"/>
          </w:tcPr>
          <w:p w:rsidR="009556B3" w:rsidRPr="009556B3" w:rsidRDefault="009556B3" w:rsidP="00121C4D">
            <w:pPr>
              <w:jc w:val="both"/>
              <w:rPr>
                <w:rStyle w:val="FontStyle83"/>
                <w:b w:val="0"/>
                <w:sz w:val="24"/>
                <w:szCs w:val="24"/>
              </w:rPr>
            </w:pPr>
          </w:p>
        </w:tc>
        <w:tc>
          <w:tcPr>
            <w:tcW w:w="6668" w:type="dxa"/>
            <w:vMerge/>
            <w:vAlign w:val="center"/>
          </w:tcPr>
          <w:p w:rsidR="009556B3" w:rsidRPr="009556B3" w:rsidRDefault="009556B3" w:rsidP="00121C4D">
            <w:pPr>
              <w:jc w:val="both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556B3" w:rsidRPr="009556B3" w:rsidRDefault="009556B3" w:rsidP="00121C4D">
            <w:pPr>
              <w:jc w:val="center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556B3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40" w:type="dxa"/>
            <w:vAlign w:val="center"/>
          </w:tcPr>
          <w:p w:rsidR="009556B3" w:rsidRPr="009556B3" w:rsidRDefault="009556B3" w:rsidP="00121C4D">
            <w:pPr>
              <w:jc w:val="center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556B3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40" w:type="dxa"/>
            <w:vAlign w:val="center"/>
          </w:tcPr>
          <w:p w:rsidR="009556B3" w:rsidRPr="009556B3" w:rsidRDefault="009556B3" w:rsidP="00121C4D">
            <w:pPr>
              <w:jc w:val="center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556B3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556B3" w:rsidRPr="009556B3" w:rsidTr="00121C4D">
        <w:tblPrEx>
          <w:tblCellMar>
            <w:top w:w="0" w:type="dxa"/>
            <w:bottom w:w="0" w:type="dxa"/>
          </w:tblCellMar>
        </w:tblPrEx>
        <w:trPr>
          <w:trHeight w:hRule="exact" w:val="1082"/>
        </w:trPr>
        <w:tc>
          <w:tcPr>
            <w:tcW w:w="1072" w:type="dxa"/>
          </w:tcPr>
          <w:p w:rsidR="009556B3" w:rsidRPr="009556B3" w:rsidRDefault="009556B3" w:rsidP="00121C4D">
            <w:pPr>
              <w:jc w:val="center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556B3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</w:tcPr>
          <w:p w:rsidR="009556B3" w:rsidRPr="009556B3" w:rsidRDefault="009556B3" w:rsidP="00121C4D">
            <w:pPr>
              <w:rPr>
                <w:rStyle w:val="FontStyle64"/>
                <w:sz w:val="24"/>
                <w:szCs w:val="24"/>
              </w:rPr>
            </w:pPr>
            <w:r w:rsidRPr="009556B3">
              <w:rPr>
                <w:rStyle w:val="FontStyle64"/>
                <w:sz w:val="24"/>
                <w:szCs w:val="24"/>
              </w:rPr>
              <w:t xml:space="preserve">Создание к 2015 году материально-технических возможностей для </w:t>
            </w:r>
            <w:r w:rsidRPr="009556B3">
              <w:t xml:space="preserve">дистанционного обучения 100% </w:t>
            </w:r>
            <w:r w:rsidRPr="009556B3">
              <w:rPr>
                <w:rStyle w:val="FontStyle64"/>
                <w:sz w:val="24"/>
                <w:szCs w:val="24"/>
              </w:rPr>
              <w:t>детей с ограниченными возможностями здоровья</w:t>
            </w:r>
            <w:r w:rsidRPr="009556B3">
              <w:t>, не посещающих учебные заведения по с</w:t>
            </w:r>
            <w:r w:rsidRPr="009556B3">
              <w:t>о</w:t>
            </w:r>
            <w:r w:rsidRPr="009556B3">
              <w:t>стоянию здоровья</w:t>
            </w:r>
          </w:p>
          <w:p w:rsidR="009556B3" w:rsidRPr="009556B3" w:rsidRDefault="009556B3" w:rsidP="00121C4D">
            <w:pPr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556B3" w:rsidRPr="009556B3" w:rsidRDefault="009556B3" w:rsidP="00121C4D">
            <w:pPr>
              <w:jc w:val="center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556B3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9556B3" w:rsidRPr="009556B3" w:rsidRDefault="009556B3" w:rsidP="00121C4D">
            <w:pPr>
              <w:jc w:val="center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556B3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840" w:type="dxa"/>
          </w:tcPr>
          <w:p w:rsidR="009556B3" w:rsidRPr="009556B3" w:rsidRDefault="009556B3" w:rsidP="00121C4D">
            <w:pPr>
              <w:jc w:val="center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556B3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1809,6</w:t>
            </w:r>
          </w:p>
        </w:tc>
      </w:tr>
      <w:tr w:rsidR="009556B3" w:rsidRPr="009556B3" w:rsidTr="00121C4D">
        <w:tblPrEx>
          <w:tblCellMar>
            <w:top w:w="0" w:type="dxa"/>
            <w:bottom w:w="0" w:type="dxa"/>
          </w:tblCellMar>
        </w:tblPrEx>
        <w:trPr>
          <w:trHeight w:hRule="exact" w:val="1082"/>
        </w:trPr>
        <w:tc>
          <w:tcPr>
            <w:tcW w:w="1072" w:type="dxa"/>
          </w:tcPr>
          <w:p w:rsidR="009556B3" w:rsidRPr="009556B3" w:rsidRDefault="009556B3" w:rsidP="00121C4D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56B3">
              <w:rPr>
                <w:rStyle w:val="FontStyle6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6668" w:type="dxa"/>
          </w:tcPr>
          <w:p w:rsidR="009556B3" w:rsidRPr="009556B3" w:rsidRDefault="009556B3" w:rsidP="00121C4D">
            <w:pPr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556B3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Реконструкция пристройки</w:t>
            </w:r>
            <w:r w:rsidRPr="009556B3">
              <w:t xml:space="preserve"> </w:t>
            </w:r>
            <w:r w:rsidRPr="009556B3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школы № 2 под «Центр дистанционного образования детей с ограниченными возможностями здоровья»  по ул. Куликова, д. 27 в г. Иваново</w:t>
            </w:r>
            <w:r w:rsidRPr="009556B3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840" w:type="dxa"/>
          </w:tcPr>
          <w:p w:rsidR="009556B3" w:rsidRPr="009556B3" w:rsidRDefault="009556B3" w:rsidP="00121C4D">
            <w:pPr>
              <w:jc w:val="center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556B3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9556B3" w:rsidRPr="009556B3" w:rsidRDefault="009556B3" w:rsidP="00121C4D">
            <w:pPr>
              <w:jc w:val="center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556B3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9556B3" w:rsidRPr="009556B3" w:rsidRDefault="009556B3" w:rsidP="00121C4D">
            <w:pPr>
              <w:jc w:val="center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556B3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1069,0</w:t>
            </w:r>
          </w:p>
        </w:tc>
      </w:tr>
      <w:tr w:rsidR="009556B3" w:rsidRPr="009556B3" w:rsidTr="00121C4D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1072" w:type="dxa"/>
          </w:tcPr>
          <w:p w:rsidR="009556B3" w:rsidRPr="009556B3" w:rsidRDefault="009556B3" w:rsidP="00121C4D">
            <w:pPr>
              <w:jc w:val="center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556B3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68" w:type="dxa"/>
          </w:tcPr>
          <w:p w:rsidR="009556B3" w:rsidRPr="009556B3" w:rsidRDefault="009556B3" w:rsidP="00121C4D">
            <w:pPr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556B3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Приобретение 2-х единиц  специализированного транспорта                  на базе автомобиля «ГАЗ 3221»</w:t>
            </w:r>
            <w:r w:rsidRPr="009556B3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840" w:type="dxa"/>
          </w:tcPr>
          <w:p w:rsidR="009556B3" w:rsidRPr="009556B3" w:rsidRDefault="009556B3" w:rsidP="00121C4D">
            <w:pPr>
              <w:jc w:val="center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556B3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9556B3" w:rsidRPr="009556B3" w:rsidRDefault="009556B3" w:rsidP="00121C4D">
            <w:pPr>
              <w:jc w:val="center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556B3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840" w:type="dxa"/>
          </w:tcPr>
          <w:p w:rsidR="009556B3" w:rsidRPr="009556B3" w:rsidRDefault="009556B3" w:rsidP="00121C4D">
            <w:pPr>
              <w:jc w:val="center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556B3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740,6</w:t>
            </w:r>
          </w:p>
        </w:tc>
      </w:tr>
      <w:tr w:rsidR="009556B3" w:rsidRPr="009556B3" w:rsidTr="00121C4D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1072" w:type="dxa"/>
          </w:tcPr>
          <w:p w:rsidR="009556B3" w:rsidRPr="009556B3" w:rsidRDefault="009556B3" w:rsidP="00121C4D">
            <w:pPr>
              <w:jc w:val="both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9556B3" w:rsidRPr="009556B3" w:rsidRDefault="009556B3" w:rsidP="00121C4D">
            <w:pPr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556B3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Итого по всем задачам (мероприятиям)</w:t>
            </w:r>
          </w:p>
        </w:tc>
        <w:tc>
          <w:tcPr>
            <w:tcW w:w="840" w:type="dxa"/>
          </w:tcPr>
          <w:p w:rsidR="009556B3" w:rsidRPr="009556B3" w:rsidRDefault="009556B3" w:rsidP="00121C4D">
            <w:pPr>
              <w:jc w:val="center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556B3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9556B3" w:rsidRPr="009556B3" w:rsidRDefault="009556B3" w:rsidP="00121C4D">
            <w:pPr>
              <w:jc w:val="center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556B3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840" w:type="dxa"/>
          </w:tcPr>
          <w:p w:rsidR="009556B3" w:rsidRPr="009556B3" w:rsidRDefault="009556B3" w:rsidP="00121C4D">
            <w:pPr>
              <w:jc w:val="center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556B3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1809,6</w:t>
            </w:r>
          </w:p>
        </w:tc>
      </w:tr>
    </w:tbl>
    <w:p w:rsidR="009556B3" w:rsidRPr="009556B3" w:rsidRDefault="009556B3" w:rsidP="009556B3">
      <w:pPr>
        <w:jc w:val="right"/>
      </w:pPr>
      <w:r w:rsidRPr="009556B3">
        <w:t>».</w:t>
      </w:r>
    </w:p>
    <w:p w:rsidR="001E28BF" w:rsidRDefault="001E28BF"/>
    <w:sectPr w:rsidR="001E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27"/>
    <w:rsid w:val="001E28BF"/>
    <w:rsid w:val="009556B3"/>
    <w:rsid w:val="0098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9556B3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9556B3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9556B3"/>
    <w:rPr>
      <w:rFonts w:ascii="Candara" w:hAnsi="Candara" w:cs="Candara"/>
      <w:b/>
      <w:bCs/>
      <w:sz w:val="18"/>
      <w:szCs w:val="18"/>
    </w:rPr>
  </w:style>
  <w:style w:type="character" w:customStyle="1" w:styleId="FontStyle64">
    <w:name w:val="Font Style64"/>
    <w:basedOn w:val="a0"/>
    <w:rsid w:val="009556B3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basedOn w:val="a0"/>
    <w:rsid w:val="009556B3"/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9556B3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9556B3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9556B3"/>
    <w:rPr>
      <w:rFonts w:ascii="Candara" w:hAnsi="Candara" w:cs="Candara"/>
      <w:b/>
      <w:bCs/>
      <w:sz w:val="18"/>
      <w:szCs w:val="18"/>
    </w:rPr>
  </w:style>
  <w:style w:type="character" w:customStyle="1" w:styleId="FontStyle64">
    <w:name w:val="Font Style64"/>
    <w:basedOn w:val="a0"/>
    <w:rsid w:val="009556B3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basedOn w:val="a0"/>
    <w:rsid w:val="009556B3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Администрация города Иванова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2012-06-05T14:19:00Z</dcterms:created>
  <dcterms:modified xsi:type="dcterms:W3CDTF">2012-06-05T14:20:00Z</dcterms:modified>
</cp:coreProperties>
</file>