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2D" w:rsidRDefault="0078282D" w:rsidP="0078282D">
      <w:pPr>
        <w:tabs>
          <w:tab w:val="left" w:pos="720"/>
        </w:tabs>
        <w:ind w:left="-360"/>
        <w:jc w:val="both"/>
      </w:pPr>
      <w:r>
        <w:t>«</w:t>
      </w:r>
    </w:p>
    <w:tbl>
      <w:tblPr>
        <w:tblW w:w="10260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2"/>
        <w:gridCol w:w="6668"/>
        <w:gridCol w:w="840"/>
        <w:gridCol w:w="840"/>
        <w:gridCol w:w="840"/>
      </w:tblGrid>
      <w:tr w:rsidR="0078282D" w:rsidRPr="004C7291" w:rsidTr="00703395">
        <w:tblPrEx>
          <w:tblCellMar>
            <w:top w:w="0" w:type="dxa"/>
            <w:bottom w:w="0" w:type="dxa"/>
          </w:tblCellMar>
        </w:tblPrEx>
        <w:trPr>
          <w:trHeight w:hRule="exact" w:val="873"/>
        </w:trPr>
        <w:tc>
          <w:tcPr>
            <w:tcW w:w="1072" w:type="dxa"/>
            <w:vMerge w:val="restart"/>
            <w:vAlign w:val="center"/>
          </w:tcPr>
          <w:p w:rsidR="0078282D" w:rsidRPr="003962B0" w:rsidRDefault="0078282D" w:rsidP="00703395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83"/>
                <w:sz w:val="20"/>
                <w:szCs w:val="20"/>
              </w:rPr>
              <w:t>№</w:t>
            </w:r>
          </w:p>
        </w:tc>
        <w:tc>
          <w:tcPr>
            <w:tcW w:w="6668" w:type="dxa"/>
            <w:vMerge w:val="restart"/>
            <w:vAlign w:val="center"/>
          </w:tcPr>
          <w:p w:rsidR="0078282D" w:rsidRPr="003962B0" w:rsidRDefault="0078282D" w:rsidP="00703395">
            <w:pPr>
              <w:pStyle w:val="Style33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7"/>
                <w:rFonts w:ascii="Times New Roman" w:hAnsi="Times New Roman"/>
                <w:sz w:val="20"/>
                <w:szCs w:val="20"/>
              </w:rPr>
              <w:t>Наименование тактической задачи, мероприятия</w:t>
            </w:r>
          </w:p>
        </w:tc>
        <w:tc>
          <w:tcPr>
            <w:tcW w:w="2520" w:type="dxa"/>
            <w:gridSpan w:val="3"/>
            <w:vAlign w:val="center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29"/>
              <w:jc w:val="center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Объем эксплуатационных ра</w:t>
            </w: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с</w:t>
            </w: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ходов (тыс. руб.)</w:t>
            </w:r>
          </w:p>
        </w:tc>
      </w:tr>
      <w:tr w:rsidR="0078282D" w:rsidRPr="004C7291" w:rsidTr="007033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72" w:type="dxa"/>
            <w:vMerge/>
            <w:vAlign w:val="center"/>
          </w:tcPr>
          <w:p w:rsidR="0078282D" w:rsidRPr="003962B0" w:rsidRDefault="0078282D" w:rsidP="00703395">
            <w:pPr>
              <w:pStyle w:val="Style33"/>
              <w:widowControl/>
              <w:jc w:val="center"/>
              <w:rPr>
                <w:rStyle w:val="FontStyle83"/>
                <w:sz w:val="20"/>
                <w:szCs w:val="20"/>
              </w:rPr>
            </w:pPr>
          </w:p>
        </w:tc>
        <w:tc>
          <w:tcPr>
            <w:tcW w:w="6668" w:type="dxa"/>
            <w:vMerge/>
            <w:vAlign w:val="center"/>
          </w:tcPr>
          <w:p w:rsidR="0078282D" w:rsidRPr="003962B0" w:rsidRDefault="0078282D" w:rsidP="00703395">
            <w:pPr>
              <w:pStyle w:val="Style33"/>
              <w:widowControl/>
              <w:jc w:val="center"/>
              <w:rPr>
                <w:rStyle w:val="FontStyle67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29"/>
              <w:jc w:val="center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840" w:type="dxa"/>
            <w:vAlign w:val="center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29"/>
              <w:jc w:val="center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40" w:type="dxa"/>
            <w:vAlign w:val="center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29"/>
              <w:jc w:val="center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2015</w:t>
            </w:r>
          </w:p>
        </w:tc>
      </w:tr>
      <w:tr w:rsidR="0078282D" w:rsidRPr="00860F3B" w:rsidTr="00703395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1072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668" w:type="dxa"/>
          </w:tcPr>
          <w:p w:rsidR="0078282D" w:rsidRPr="003962B0" w:rsidRDefault="0078282D" w:rsidP="00703395">
            <w:pPr>
              <w:pStyle w:val="Style1"/>
              <w:widowControl/>
              <w:spacing w:line="240" w:lineRule="auto"/>
              <w:ind w:right="10"/>
              <w:rPr>
                <w:rStyle w:val="FontStyle64"/>
                <w:b/>
              </w:rPr>
            </w:pPr>
            <w:r w:rsidRPr="003962B0">
              <w:rPr>
                <w:rStyle w:val="FontStyle64"/>
                <w:b/>
              </w:rPr>
              <w:t xml:space="preserve">Создание к 2015 году материально-технических возможностей для </w:t>
            </w:r>
            <w:r w:rsidRPr="003962B0">
              <w:rPr>
                <w:rFonts w:ascii="Times New Roman" w:hAnsi="Times New Roman"/>
                <w:b/>
                <w:sz w:val="20"/>
                <w:szCs w:val="20"/>
              </w:rPr>
              <w:t xml:space="preserve">дистанционного обучения 100% </w:t>
            </w:r>
            <w:r w:rsidRPr="003962B0">
              <w:rPr>
                <w:rStyle w:val="FontStyle64"/>
                <w:b/>
              </w:rPr>
              <w:t>детей с ограниченными возможностями здоровья</w:t>
            </w:r>
            <w:r w:rsidRPr="003962B0">
              <w:rPr>
                <w:rFonts w:ascii="Times New Roman" w:hAnsi="Times New Roman"/>
                <w:b/>
                <w:sz w:val="20"/>
                <w:szCs w:val="20"/>
              </w:rPr>
              <w:t>, не посещающих учебные заведения по с</w:t>
            </w:r>
            <w:r w:rsidRPr="003962B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962B0">
              <w:rPr>
                <w:rFonts w:ascii="Times New Roman" w:hAnsi="Times New Roman"/>
                <w:b/>
                <w:sz w:val="20"/>
                <w:szCs w:val="20"/>
              </w:rPr>
              <w:t>стоянию здоровья</w:t>
            </w:r>
          </w:p>
          <w:p w:rsidR="0078282D" w:rsidRPr="003962B0" w:rsidRDefault="0078282D" w:rsidP="00703395">
            <w:pPr>
              <w:pStyle w:val="Style31"/>
              <w:widowControl/>
              <w:spacing w:line="240" w:lineRule="auto"/>
              <w:ind w:right="38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jc w:val="center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704,0</w:t>
            </w:r>
          </w:p>
        </w:tc>
        <w:tc>
          <w:tcPr>
            <w:tcW w:w="840" w:type="dxa"/>
          </w:tcPr>
          <w:p w:rsidR="0078282D" w:rsidRPr="00EE67F6" w:rsidRDefault="0078282D" w:rsidP="00703395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EE67F6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740,6</w:t>
            </w:r>
          </w:p>
        </w:tc>
      </w:tr>
      <w:tr w:rsidR="0078282D" w:rsidRPr="004C7291" w:rsidTr="00703395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072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1</w:t>
            </w: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8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5" w:right="499" w:firstLine="14"/>
              <w:jc w:val="both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t>Приобретение 2-х единиц  специализированного транспорта на базе автомобиля «ГАЗ 3221»</w:t>
            </w: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sym w:font="Symbol" w:char="F02A"/>
            </w: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jc w:val="center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t>704,0</w:t>
            </w: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sz w:val="20"/>
                <w:szCs w:val="20"/>
              </w:rPr>
              <w:t>740,6</w:t>
            </w:r>
          </w:p>
        </w:tc>
      </w:tr>
      <w:tr w:rsidR="0078282D" w:rsidRPr="00860F3B" w:rsidTr="00703395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072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8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5" w:right="499" w:firstLine="14"/>
              <w:jc w:val="both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Итого по всем задачам (мероприятиям)</w:t>
            </w: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jc w:val="center"/>
              <w:rPr>
                <w:rStyle w:val="FontStyle63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63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78282D" w:rsidRPr="003962B0" w:rsidRDefault="0078282D" w:rsidP="00703395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3962B0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704,0</w:t>
            </w:r>
          </w:p>
        </w:tc>
        <w:tc>
          <w:tcPr>
            <w:tcW w:w="840" w:type="dxa"/>
          </w:tcPr>
          <w:p w:rsidR="0078282D" w:rsidRPr="00EE67F6" w:rsidRDefault="0078282D" w:rsidP="00703395">
            <w:pPr>
              <w:pStyle w:val="Style31"/>
              <w:widowControl/>
              <w:spacing w:line="240" w:lineRule="auto"/>
              <w:ind w:left="19"/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</w:pPr>
            <w:r w:rsidRPr="00EE67F6">
              <w:rPr>
                <w:rStyle w:val="FontStyle63"/>
                <w:rFonts w:ascii="Times New Roman" w:hAnsi="Times New Roman"/>
                <w:b/>
                <w:sz w:val="20"/>
                <w:szCs w:val="20"/>
              </w:rPr>
              <w:t>740,6</w:t>
            </w:r>
          </w:p>
        </w:tc>
      </w:tr>
    </w:tbl>
    <w:p w:rsidR="0078282D" w:rsidRDefault="0078282D" w:rsidP="0078282D">
      <w:pPr>
        <w:tabs>
          <w:tab w:val="left" w:pos="720"/>
        </w:tabs>
        <w:ind w:left="14"/>
        <w:jc w:val="both"/>
      </w:pPr>
      <w:r>
        <w:t xml:space="preserve">                                                                                                                                                        ».</w:t>
      </w:r>
    </w:p>
    <w:p w:rsidR="008C07EE" w:rsidRDefault="008C07EE">
      <w:bookmarkStart w:id="0" w:name="_GoBack"/>
      <w:bookmarkEnd w:id="0"/>
    </w:p>
    <w:sectPr w:rsidR="008C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8D"/>
    <w:rsid w:val="00264B8D"/>
    <w:rsid w:val="0078282D"/>
    <w:rsid w:val="008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78282D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78282D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78282D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78282D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78282D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basedOn w:val="a0"/>
    <w:rsid w:val="0078282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78282D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1">
    <w:name w:val="Знак1"/>
    <w:basedOn w:val="a"/>
    <w:rsid w:val="007828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78282D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78282D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78282D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rsid w:val="0078282D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78282D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basedOn w:val="a0"/>
    <w:rsid w:val="0078282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78282D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1">
    <w:name w:val="Знак1"/>
    <w:basedOn w:val="a"/>
    <w:rsid w:val="007828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2012-10-18T11:20:00Z</dcterms:created>
  <dcterms:modified xsi:type="dcterms:W3CDTF">2012-10-18T11:20:00Z</dcterms:modified>
</cp:coreProperties>
</file>