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0"/>
        <w:gridCol w:w="4636"/>
        <w:gridCol w:w="690"/>
      </w:tblGrid>
      <w:tr w:rsidR="006F5247" w:rsidTr="00811BDB">
        <w:trPr>
          <w:trHeight w:val="240"/>
        </w:trPr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247" w:rsidRDefault="006F524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Квалификационные уровни    </w:t>
            </w:r>
          </w:p>
        </w:tc>
        <w:tc>
          <w:tcPr>
            <w:tcW w:w="463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F5247" w:rsidRDefault="006F524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Минимальный оклад (руб.)     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6F5247" w:rsidRDefault="006F524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6F5247" w:rsidTr="00811BDB">
        <w:trPr>
          <w:trHeight w:val="360"/>
        </w:trPr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247" w:rsidRDefault="006F5247" w:rsidP="00811BDB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Должности, отнесенные к ПКГ                   </w:t>
            </w:r>
            <w:r>
              <w:rPr>
                <w:rFonts w:ascii="Times New Roman" w:eastAsia="Arial CYR" w:hAnsi="Times New Roman" w:cs="Arial CYR"/>
                <w:sz w:val="24"/>
                <w:szCs w:val="24"/>
              </w:rPr>
              <w:br/>
              <w:t>«Средний медицинский и фармацевтический персонал»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6F5247" w:rsidRDefault="006F5247" w:rsidP="00811BDB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6F5247" w:rsidTr="00811BDB">
        <w:trPr>
          <w:trHeight w:val="240"/>
        </w:trPr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247" w:rsidRDefault="006F524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1 квалификационный уровень     </w:t>
            </w:r>
          </w:p>
        </w:tc>
        <w:tc>
          <w:tcPr>
            <w:tcW w:w="4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247" w:rsidRDefault="006F524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2830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6F5247" w:rsidRDefault="006F524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6F5247" w:rsidTr="00811BDB">
        <w:trPr>
          <w:trHeight w:val="240"/>
        </w:trPr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247" w:rsidRDefault="006F524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2 квалификационный уровень     </w:t>
            </w:r>
          </w:p>
        </w:tc>
        <w:tc>
          <w:tcPr>
            <w:tcW w:w="4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247" w:rsidRDefault="006F524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2900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6F5247" w:rsidRDefault="006F524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6F5247" w:rsidTr="00811BDB">
        <w:trPr>
          <w:trHeight w:val="240"/>
        </w:trPr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247" w:rsidRDefault="006F524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3 квалификационный уровень     </w:t>
            </w:r>
          </w:p>
        </w:tc>
        <w:tc>
          <w:tcPr>
            <w:tcW w:w="4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247" w:rsidRDefault="006F524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2950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6F5247" w:rsidRDefault="006F524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6F5247" w:rsidTr="00811BDB"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247" w:rsidRDefault="006F5247" w:rsidP="00811BDB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Должности, отнесенные к ПКГ «Врачи и провизоры»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6F5247" w:rsidRDefault="006F5247" w:rsidP="00811BDB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6F5247" w:rsidTr="00811BDB"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247" w:rsidRDefault="006F524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2 квалификационный уровень                           </w:t>
            </w:r>
          </w:p>
        </w:tc>
        <w:tc>
          <w:tcPr>
            <w:tcW w:w="4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247" w:rsidRDefault="006F524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3400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6F5247" w:rsidRDefault="006F524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</w:tbl>
    <w:p w:rsidR="00CA6787" w:rsidRDefault="00CA6787">
      <w:bookmarkStart w:id="0" w:name="_GoBack"/>
      <w:bookmarkEnd w:id="0"/>
    </w:p>
    <w:sectPr w:rsidR="00CA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E3"/>
    <w:rsid w:val="006F5247"/>
    <w:rsid w:val="00B36AE3"/>
    <w:rsid w:val="00CA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4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4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2011-11-21T09:44:00Z</dcterms:created>
  <dcterms:modified xsi:type="dcterms:W3CDTF">2011-11-21T09:44:00Z</dcterms:modified>
</cp:coreProperties>
</file>