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C5" w:rsidRDefault="00BD06C5" w:rsidP="006A1CE3">
      <w:pPr>
        <w:jc w:val="center"/>
      </w:pPr>
    </w:p>
    <w:p w:rsidR="006A1CE3" w:rsidRPr="00322E65" w:rsidRDefault="006A1CE3" w:rsidP="0008411B">
      <w:pPr>
        <w:ind w:left="5812"/>
        <w:outlineLvl w:val="1"/>
        <w:rPr>
          <w:rFonts w:eastAsia="Calibri"/>
          <w:lang w:eastAsia="en-US"/>
        </w:rPr>
      </w:pPr>
      <w:bookmarkStart w:id="0" w:name="Par1528"/>
      <w:bookmarkEnd w:id="0"/>
      <w:r w:rsidRPr="00322E65">
        <w:rPr>
          <w:rFonts w:eastAsia="Calibri"/>
          <w:lang w:eastAsia="en-US"/>
        </w:rPr>
        <w:t>Приложение 2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к муниципальной программе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«Энергосбережение и повышение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энергетической эффективности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в городе Иванове»</w:t>
      </w:r>
    </w:p>
    <w:p w:rsidR="006A1CE3" w:rsidRPr="00322E65" w:rsidRDefault="006A1CE3" w:rsidP="006A1CE3">
      <w:pPr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bookmarkStart w:id="1" w:name="Par1534"/>
      <w:bookmarkEnd w:id="1"/>
      <w:r w:rsidRPr="00322E65">
        <w:rPr>
          <w:rFonts w:eastAsia="Calibri"/>
          <w:lang w:eastAsia="en-US"/>
        </w:rPr>
        <w:t>Специальная подпрограмма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«Замена приборов учета электроэнергии на объектах наружного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освещения в городе Иванове»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реализации подпрограммы - 2014 - 2020 годы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suppressAutoHyphens/>
        <w:ind w:firstLine="709"/>
        <w:jc w:val="both"/>
        <w:rPr>
          <w:kern w:val="1"/>
        </w:rPr>
      </w:pPr>
      <w:r w:rsidRPr="00322E65">
        <w:rPr>
          <w:kern w:val="1"/>
        </w:rPr>
        <w:t>Подпрограмма направлена на повышение надежности и долговечности работы сетей наружного освещения, повышение уровня безопасности населения и дорожного движения, снижение расхода финансовых средств на оплату затрачиваемой электрической энергии на наружное освещение, повышение надежности работы осветительных установок.</w:t>
      </w:r>
    </w:p>
    <w:p w:rsidR="006A1CE3" w:rsidRPr="00322E65" w:rsidRDefault="006A1CE3" w:rsidP="006A1CE3">
      <w:pPr>
        <w:suppressAutoHyphens/>
        <w:ind w:firstLine="709"/>
        <w:jc w:val="both"/>
        <w:rPr>
          <w:kern w:val="1"/>
        </w:rPr>
      </w:pPr>
      <w:proofErr w:type="gramStart"/>
      <w:r w:rsidRPr="00322E65">
        <w:rPr>
          <w:kern w:val="1"/>
        </w:rPr>
        <w:t>Установка электронных счетчиков электрической энергии в пунктах питания наружного освещения приведет к значительной экономии финансовых средств, расходуемых на оплату потребленной электрической энергии на наружное освещение, в связи с тем, что будет производиться учет реально потребляемой электрической энергии на наружное освещение в вечернее и ночное время суток, а не по установленной мощности установок наружного освещения.</w:t>
      </w:r>
      <w:proofErr w:type="gramEnd"/>
    </w:p>
    <w:p w:rsidR="006A1CE3" w:rsidRPr="00322E65" w:rsidRDefault="006A1CE3" w:rsidP="006A1CE3">
      <w:pPr>
        <w:suppressAutoHyphens/>
        <w:ind w:firstLine="709"/>
        <w:jc w:val="both"/>
        <w:rPr>
          <w:kern w:val="1"/>
        </w:rPr>
      </w:pPr>
      <w:r w:rsidRPr="00322E65">
        <w:rPr>
          <w:kern w:val="1"/>
        </w:rPr>
        <w:t>По состоянию на 31.12.2015 насчитывается 198 пунктов включения наружного освещения, из которых оборудованных приборами учета 150 единиц.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5F2448" w:rsidRDefault="005F2448" w:rsidP="005F2448">
      <w:pPr>
        <w:jc w:val="center"/>
        <w:outlineLvl w:val="2"/>
        <w:rPr>
          <w:rFonts w:eastAsia="Calibri"/>
          <w:lang w:eastAsia="en-US"/>
        </w:rPr>
      </w:pPr>
      <w:bookmarkStart w:id="2" w:name="Par1546"/>
      <w:bookmarkEnd w:id="2"/>
      <w:r w:rsidRPr="005F2448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</w:t>
      </w:r>
      <w:r w:rsidR="006A1CE3" w:rsidRPr="005F2448">
        <w:rPr>
          <w:rFonts w:eastAsia="Calibri"/>
          <w:lang w:eastAsia="en-US"/>
        </w:rPr>
        <w:t>Ожидаемые результаты реализации подпрограммы</w:t>
      </w:r>
    </w:p>
    <w:p w:rsidR="005F2448" w:rsidRPr="005F2448" w:rsidRDefault="005F2448" w:rsidP="005F2448">
      <w:pPr>
        <w:rPr>
          <w:rFonts w:eastAsia="Calibri"/>
          <w:lang w:eastAsia="en-US"/>
        </w:rPr>
      </w:pPr>
    </w:p>
    <w:p w:rsidR="005F2448" w:rsidRDefault="006A1CE3" w:rsidP="005F2448">
      <w:pPr>
        <w:suppressAutoHyphens/>
        <w:ind w:firstLine="709"/>
        <w:jc w:val="both"/>
        <w:rPr>
          <w:kern w:val="1"/>
        </w:rPr>
      </w:pPr>
      <w:r w:rsidRPr="00322E65">
        <w:rPr>
          <w:kern w:val="1"/>
        </w:rPr>
        <w:t>Реализация подпрограммы позволит:</w:t>
      </w:r>
    </w:p>
    <w:p w:rsidR="006A1CE3" w:rsidRPr="005F2448" w:rsidRDefault="005F2448" w:rsidP="005F2448">
      <w:pPr>
        <w:suppressAutoHyphens/>
        <w:ind w:firstLine="709"/>
        <w:jc w:val="both"/>
        <w:rPr>
          <w:kern w:val="1"/>
        </w:rPr>
      </w:pPr>
      <w:r>
        <w:rPr>
          <w:kern w:val="1"/>
        </w:rPr>
        <w:t xml:space="preserve">- </w:t>
      </w:r>
      <w:r w:rsidR="006A1CE3" w:rsidRPr="00322E65">
        <w:rPr>
          <w:kern w:val="1"/>
        </w:rPr>
        <w:t xml:space="preserve">установить 21 </w:t>
      </w:r>
      <w:r w:rsidR="006A1CE3" w:rsidRPr="005F2448">
        <w:rPr>
          <w:kern w:val="1"/>
        </w:rPr>
        <w:t>прибор</w:t>
      </w:r>
      <w:r w:rsidR="006A1CE3" w:rsidRPr="00322E65">
        <w:rPr>
          <w:kern w:val="1"/>
        </w:rPr>
        <w:t xml:space="preserve"> учета электроэнергии в пунктах включения наружного освещения.</w:t>
      </w:r>
    </w:p>
    <w:p w:rsidR="006A1CE3" w:rsidRPr="00322E65" w:rsidRDefault="006A1CE3" w:rsidP="005F2448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3" w:name="Par1551"/>
      <w:bookmarkEnd w:id="3"/>
      <w:r w:rsidRPr="00322E65">
        <w:rPr>
          <w:rFonts w:eastAsia="Calibri"/>
          <w:lang w:eastAsia="en-US"/>
        </w:rPr>
        <w:t>Таблица 1. Сведения о целевых индикаторах (показателях) реализации подпрограммы</w:t>
      </w: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990"/>
        <w:gridCol w:w="680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6A1CE3" w:rsidRPr="00322E65" w:rsidTr="005F24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2012, факт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2013, факт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</w:tr>
      <w:tr w:rsidR="006A1CE3" w:rsidRPr="00322E65" w:rsidTr="005F24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C74E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Количество установленных приборов учета электрической энергии в пунктах включения наружного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A1CE3" w:rsidRPr="00322E65" w:rsidTr="005F24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22E65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pStyle w:val="Pro-T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22E65">
              <w:rPr>
                <w:rFonts w:ascii="Times New Roman" w:hAnsi="Times New Roman"/>
                <w:sz w:val="22"/>
                <w:szCs w:val="22"/>
                <w:lang w:eastAsia="en-US"/>
              </w:rPr>
              <w:t>Доля пунктов включения наружного освещения, оборудованных приборами учета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322E65"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E6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E6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E65">
              <w:rPr>
                <w:rFonts w:ascii="Times New Roman" w:hAnsi="Times New Roman"/>
                <w:sz w:val="22"/>
                <w:szCs w:val="22"/>
              </w:rPr>
              <w:t>74,62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E65">
              <w:rPr>
                <w:rFonts w:ascii="Times New Roman" w:hAnsi="Times New Roman"/>
                <w:sz w:val="22"/>
                <w:szCs w:val="22"/>
              </w:rPr>
              <w:t>75,76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pStyle w:val="Pro-Tab"/>
              <w:jc w:val="center"/>
              <w:rPr>
                <w:sz w:val="22"/>
                <w:szCs w:val="22"/>
              </w:rPr>
            </w:pPr>
            <w:r w:rsidRPr="00322E65">
              <w:rPr>
                <w:rFonts w:ascii="Times New Roman" w:hAnsi="Times New Roman"/>
                <w:sz w:val="22"/>
                <w:szCs w:val="22"/>
              </w:rPr>
              <w:t>76,26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E65">
              <w:rPr>
                <w:rFonts w:ascii="Times New Roman" w:hAnsi="Times New Roman"/>
                <w:sz w:val="22"/>
                <w:szCs w:val="22"/>
              </w:rPr>
              <w:t>77,27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E65">
              <w:rPr>
                <w:rFonts w:ascii="Times New Roman" w:hAnsi="Times New Roman"/>
                <w:sz w:val="22"/>
                <w:szCs w:val="22"/>
              </w:rPr>
              <w:t>78,28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E65">
              <w:rPr>
                <w:rFonts w:ascii="Times New Roman" w:hAnsi="Times New Roman"/>
                <w:sz w:val="22"/>
                <w:szCs w:val="22"/>
              </w:rPr>
              <w:t>78,79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E65">
              <w:rPr>
                <w:rFonts w:ascii="Times New Roman" w:hAnsi="Times New Roman"/>
                <w:sz w:val="22"/>
                <w:szCs w:val="22"/>
              </w:rPr>
              <w:t>79,29</w:t>
            </w:r>
          </w:p>
        </w:tc>
      </w:tr>
    </w:tbl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lastRenderedPageBreak/>
        <w:t xml:space="preserve">Достижение ожидаемых результатов реализации подпрограммы не сопряжено </w:t>
      </w:r>
      <w:r w:rsidR="005F2448">
        <w:rPr>
          <w:rFonts w:eastAsia="Calibri"/>
          <w:lang w:eastAsia="en-US"/>
        </w:rPr>
        <w:t xml:space="preserve">                 </w:t>
      </w:r>
      <w:r w:rsidRPr="00322E65">
        <w:rPr>
          <w:rFonts w:eastAsia="Calibri"/>
          <w:lang w:eastAsia="en-US"/>
        </w:rPr>
        <w:t>с существенными экономическими, организационными и иными рисками.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  <w:bookmarkStart w:id="4" w:name="Par1572"/>
      <w:bookmarkEnd w:id="4"/>
      <w:r w:rsidRPr="00322E65">
        <w:rPr>
          <w:rFonts w:eastAsia="Calibri"/>
          <w:lang w:eastAsia="en-US"/>
        </w:rPr>
        <w:t>2. Мероприятия подпрограммы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Подпрограммой предусмотрена реализация следующего мероприятия: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- произвести монтаж новых пунктов включения объектов уличного освещения, взамен технически устаревших, с установкой приборов учета электроэнергии. Данное мероприятие предусматривает также выполнение работ по замене вводного, выводного кабеля, опор, монтажу самонесущего изолированного провода и других сопутствующих работ.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мероприятия - 2014 - 2020 годы.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Финансирование подпрограммы проводится за счет бюджетных ассигнований городского бюджета.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Таблица 2. Бюджетные ассигнования на выполнение мероприятий подпрограммы</w:t>
      </w:r>
    </w:p>
    <w:p w:rsidR="006A1CE3" w:rsidRPr="00322E65" w:rsidRDefault="006A1CE3" w:rsidP="006A1CE3">
      <w:pPr>
        <w:jc w:val="right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696"/>
        <w:gridCol w:w="1706"/>
        <w:gridCol w:w="798"/>
        <w:gridCol w:w="799"/>
        <w:gridCol w:w="798"/>
        <w:gridCol w:w="799"/>
        <w:gridCol w:w="798"/>
        <w:gridCol w:w="799"/>
        <w:gridCol w:w="799"/>
      </w:tblGrid>
      <w:tr w:rsidR="006A1CE3" w:rsidRPr="00322E65" w:rsidTr="005F244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</w:tr>
      <w:tr w:rsidR="006A1CE3" w:rsidRPr="00322E65" w:rsidTr="005F2448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1719,82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966,10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5F244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216,21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362,5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237,50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237,50</w:t>
            </w:r>
          </w:p>
        </w:tc>
      </w:tr>
      <w:tr w:rsidR="006A1CE3" w:rsidRPr="00322E65" w:rsidTr="005F2448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1719,82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966,10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216,21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rPr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 xml:space="preserve">  362,5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237,50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237,50</w:t>
            </w:r>
          </w:p>
        </w:tc>
      </w:tr>
      <w:tr w:rsidR="006A1CE3" w:rsidRPr="00322E65" w:rsidTr="005F244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FE37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Монтаж новых пунктов включения объектов уличного освещения взамен технически устаревших </w:t>
            </w:r>
            <w:r w:rsidR="005F2448">
              <w:rPr>
                <w:rFonts w:eastAsia="Calibri"/>
                <w:sz w:val="22"/>
                <w:szCs w:val="22"/>
                <w:lang w:eastAsia="en-US"/>
              </w:rPr>
              <w:t xml:space="preserve">               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t>с установкой приборов учета электроэнергии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C74E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sz w:val="20"/>
                <w:szCs w:val="20"/>
              </w:rPr>
            </w:pPr>
            <w:r w:rsidRPr="00322E65">
              <w:rPr>
                <w:sz w:val="20"/>
                <w:szCs w:val="20"/>
              </w:rPr>
              <w:t>1719,82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966,10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5F244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216,21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362,5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237,50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E65">
              <w:rPr>
                <w:rFonts w:eastAsia="Calibri"/>
                <w:sz w:val="20"/>
                <w:szCs w:val="20"/>
                <w:lang w:eastAsia="en-US"/>
              </w:rPr>
              <w:t>237,50</w:t>
            </w:r>
          </w:p>
        </w:tc>
      </w:tr>
    </w:tbl>
    <w:p w:rsidR="00B3711D" w:rsidRDefault="00B3711D" w:rsidP="005717CC">
      <w:pPr>
        <w:ind w:left="5812"/>
        <w:outlineLvl w:val="1"/>
      </w:pPr>
      <w:bookmarkStart w:id="5" w:name="Par1607"/>
      <w:bookmarkStart w:id="6" w:name="_GoBack"/>
      <w:bookmarkEnd w:id="5"/>
      <w:bookmarkEnd w:id="6"/>
    </w:p>
    <w:sectPr w:rsidR="00B3711D" w:rsidSect="006A1CE3">
      <w:headerReference w:type="default" r:id="rId9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D2" w:rsidRDefault="00CD29D2">
      <w:r>
        <w:separator/>
      </w:r>
    </w:p>
  </w:endnote>
  <w:endnote w:type="continuationSeparator" w:id="0">
    <w:p w:rsidR="00CD29D2" w:rsidRDefault="00CD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D2" w:rsidRDefault="00CD29D2">
      <w:r>
        <w:separator/>
      </w:r>
    </w:p>
  </w:footnote>
  <w:footnote w:type="continuationSeparator" w:id="0">
    <w:p w:rsidR="00CD29D2" w:rsidRDefault="00CD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261814"/>
      <w:docPartObj>
        <w:docPartGallery w:val="Page Numbers (Top of Page)"/>
        <w:docPartUnique/>
      </w:docPartObj>
    </w:sdtPr>
    <w:sdtEndPr/>
    <w:sdtContent>
      <w:p w:rsidR="005805F2" w:rsidRDefault="005805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7CC">
          <w:rPr>
            <w:noProof/>
          </w:rPr>
          <w:t>2</w:t>
        </w:r>
        <w:r>
          <w:fldChar w:fldCharType="end"/>
        </w:r>
      </w:p>
    </w:sdtContent>
  </w:sdt>
  <w:p w:rsidR="005805F2" w:rsidRDefault="005805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/>
        <w:color w:val="C41C16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27725E"/>
    <w:multiLevelType w:val="hybridMultilevel"/>
    <w:tmpl w:val="975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8CD"/>
    <w:multiLevelType w:val="hybridMultilevel"/>
    <w:tmpl w:val="DE1A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0474"/>
    <w:multiLevelType w:val="hybridMultilevel"/>
    <w:tmpl w:val="BF9687C4"/>
    <w:lvl w:ilvl="0" w:tplc="6A66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64FA0"/>
    <w:multiLevelType w:val="multilevel"/>
    <w:tmpl w:val="E5C4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BCB1463"/>
    <w:multiLevelType w:val="multilevel"/>
    <w:tmpl w:val="ACC48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B606655"/>
    <w:multiLevelType w:val="hybridMultilevel"/>
    <w:tmpl w:val="971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F7647"/>
    <w:multiLevelType w:val="hybridMultilevel"/>
    <w:tmpl w:val="6B4238A0"/>
    <w:lvl w:ilvl="0" w:tplc="D21CF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140D"/>
    <w:multiLevelType w:val="hybridMultilevel"/>
    <w:tmpl w:val="AB765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17C"/>
    <w:rsid w:val="000152CF"/>
    <w:rsid w:val="000156EE"/>
    <w:rsid w:val="00015B6B"/>
    <w:rsid w:val="00020DFF"/>
    <w:rsid w:val="00023154"/>
    <w:rsid w:val="00030DE5"/>
    <w:rsid w:val="00034C02"/>
    <w:rsid w:val="00047685"/>
    <w:rsid w:val="00053092"/>
    <w:rsid w:val="000579FC"/>
    <w:rsid w:val="000627B8"/>
    <w:rsid w:val="000638BE"/>
    <w:rsid w:val="00070BAE"/>
    <w:rsid w:val="000714B0"/>
    <w:rsid w:val="0008411B"/>
    <w:rsid w:val="000A268F"/>
    <w:rsid w:val="000A579E"/>
    <w:rsid w:val="000B1014"/>
    <w:rsid w:val="000B1675"/>
    <w:rsid w:val="000B2E02"/>
    <w:rsid w:val="000B705A"/>
    <w:rsid w:val="000C360D"/>
    <w:rsid w:val="000C787D"/>
    <w:rsid w:val="000D11E3"/>
    <w:rsid w:val="001055B8"/>
    <w:rsid w:val="00111641"/>
    <w:rsid w:val="00112873"/>
    <w:rsid w:val="00112DAB"/>
    <w:rsid w:val="0011559D"/>
    <w:rsid w:val="001159DB"/>
    <w:rsid w:val="001266F7"/>
    <w:rsid w:val="00126EAD"/>
    <w:rsid w:val="00134589"/>
    <w:rsid w:val="00145F78"/>
    <w:rsid w:val="00146135"/>
    <w:rsid w:val="00152444"/>
    <w:rsid w:val="00157B33"/>
    <w:rsid w:val="001606CE"/>
    <w:rsid w:val="00161798"/>
    <w:rsid w:val="00172631"/>
    <w:rsid w:val="00174AA9"/>
    <w:rsid w:val="00177778"/>
    <w:rsid w:val="0018287F"/>
    <w:rsid w:val="00184DAF"/>
    <w:rsid w:val="0018565E"/>
    <w:rsid w:val="00194E08"/>
    <w:rsid w:val="00196DA6"/>
    <w:rsid w:val="001A043E"/>
    <w:rsid w:val="001A1BD1"/>
    <w:rsid w:val="001A610E"/>
    <w:rsid w:val="001A7133"/>
    <w:rsid w:val="001B47F5"/>
    <w:rsid w:val="001C2A81"/>
    <w:rsid w:val="001C5084"/>
    <w:rsid w:val="001E3461"/>
    <w:rsid w:val="001E6949"/>
    <w:rsid w:val="001E725F"/>
    <w:rsid w:val="002127D0"/>
    <w:rsid w:val="00212E49"/>
    <w:rsid w:val="00224403"/>
    <w:rsid w:val="00233C29"/>
    <w:rsid w:val="002345F9"/>
    <w:rsid w:val="00236EB0"/>
    <w:rsid w:val="00241052"/>
    <w:rsid w:val="002416B3"/>
    <w:rsid w:val="00247882"/>
    <w:rsid w:val="00252BB4"/>
    <w:rsid w:val="00255564"/>
    <w:rsid w:val="002602E7"/>
    <w:rsid w:val="00264167"/>
    <w:rsid w:val="0027792F"/>
    <w:rsid w:val="002837D3"/>
    <w:rsid w:val="0029055B"/>
    <w:rsid w:val="00295C73"/>
    <w:rsid w:val="002A2AED"/>
    <w:rsid w:val="002B1EAD"/>
    <w:rsid w:val="002B7ACE"/>
    <w:rsid w:val="002C6239"/>
    <w:rsid w:val="002D10F3"/>
    <w:rsid w:val="002D271E"/>
    <w:rsid w:val="002D2A05"/>
    <w:rsid w:val="002D5768"/>
    <w:rsid w:val="002E6F83"/>
    <w:rsid w:val="002F3715"/>
    <w:rsid w:val="00302208"/>
    <w:rsid w:val="00303E9C"/>
    <w:rsid w:val="003040CB"/>
    <w:rsid w:val="00313D5D"/>
    <w:rsid w:val="00314360"/>
    <w:rsid w:val="00321DF8"/>
    <w:rsid w:val="00322E65"/>
    <w:rsid w:val="00323E6D"/>
    <w:rsid w:val="00342A27"/>
    <w:rsid w:val="00343C09"/>
    <w:rsid w:val="003466D4"/>
    <w:rsid w:val="003546D4"/>
    <w:rsid w:val="00355CCF"/>
    <w:rsid w:val="003570E8"/>
    <w:rsid w:val="0036167D"/>
    <w:rsid w:val="00362B0D"/>
    <w:rsid w:val="00362D8A"/>
    <w:rsid w:val="003644C9"/>
    <w:rsid w:val="0037797A"/>
    <w:rsid w:val="00390D32"/>
    <w:rsid w:val="00395DF9"/>
    <w:rsid w:val="00396B07"/>
    <w:rsid w:val="003A2D99"/>
    <w:rsid w:val="003A4D9E"/>
    <w:rsid w:val="003B231A"/>
    <w:rsid w:val="003D0373"/>
    <w:rsid w:val="003D6A72"/>
    <w:rsid w:val="003E2A98"/>
    <w:rsid w:val="003E4CCF"/>
    <w:rsid w:val="003F1067"/>
    <w:rsid w:val="003F7ED4"/>
    <w:rsid w:val="004017F7"/>
    <w:rsid w:val="00403502"/>
    <w:rsid w:val="004047BE"/>
    <w:rsid w:val="004059E1"/>
    <w:rsid w:val="00415634"/>
    <w:rsid w:val="00421CA7"/>
    <w:rsid w:val="00422300"/>
    <w:rsid w:val="00425BC8"/>
    <w:rsid w:val="004265D8"/>
    <w:rsid w:val="004313E2"/>
    <w:rsid w:val="00434DFC"/>
    <w:rsid w:val="00435263"/>
    <w:rsid w:val="00436961"/>
    <w:rsid w:val="00436E54"/>
    <w:rsid w:val="004459C1"/>
    <w:rsid w:val="00446DB3"/>
    <w:rsid w:val="004576E4"/>
    <w:rsid w:val="004578BE"/>
    <w:rsid w:val="004747E0"/>
    <w:rsid w:val="00481D33"/>
    <w:rsid w:val="00487ED7"/>
    <w:rsid w:val="004B2552"/>
    <w:rsid w:val="004B638E"/>
    <w:rsid w:val="004B6717"/>
    <w:rsid w:val="004B75B0"/>
    <w:rsid w:val="004C2241"/>
    <w:rsid w:val="004C22ED"/>
    <w:rsid w:val="004C2725"/>
    <w:rsid w:val="004C5183"/>
    <w:rsid w:val="004F3978"/>
    <w:rsid w:val="005062A1"/>
    <w:rsid w:val="00521394"/>
    <w:rsid w:val="00533C3E"/>
    <w:rsid w:val="0054759E"/>
    <w:rsid w:val="00551A1D"/>
    <w:rsid w:val="00553539"/>
    <w:rsid w:val="00555B1F"/>
    <w:rsid w:val="005717CC"/>
    <w:rsid w:val="0057359E"/>
    <w:rsid w:val="005805F2"/>
    <w:rsid w:val="0059313D"/>
    <w:rsid w:val="00596EB6"/>
    <w:rsid w:val="005A74F3"/>
    <w:rsid w:val="005A774F"/>
    <w:rsid w:val="005B239F"/>
    <w:rsid w:val="005B4883"/>
    <w:rsid w:val="005D06D4"/>
    <w:rsid w:val="005D31DC"/>
    <w:rsid w:val="005D3BF0"/>
    <w:rsid w:val="005D5C33"/>
    <w:rsid w:val="005D5DBE"/>
    <w:rsid w:val="005E0ECA"/>
    <w:rsid w:val="005E422B"/>
    <w:rsid w:val="005E4A0A"/>
    <w:rsid w:val="005F2170"/>
    <w:rsid w:val="005F2448"/>
    <w:rsid w:val="005F2BDE"/>
    <w:rsid w:val="005F3657"/>
    <w:rsid w:val="006054ED"/>
    <w:rsid w:val="006078F6"/>
    <w:rsid w:val="006120FF"/>
    <w:rsid w:val="00612D8C"/>
    <w:rsid w:val="00616AE9"/>
    <w:rsid w:val="00622F40"/>
    <w:rsid w:val="00624A00"/>
    <w:rsid w:val="00625B5E"/>
    <w:rsid w:val="00635629"/>
    <w:rsid w:val="00643197"/>
    <w:rsid w:val="00643417"/>
    <w:rsid w:val="006508D3"/>
    <w:rsid w:val="0065430D"/>
    <w:rsid w:val="0067360C"/>
    <w:rsid w:val="0067478D"/>
    <w:rsid w:val="00681591"/>
    <w:rsid w:val="00684CEF"/>
    <w:rsid w:val="00690685"/>
    <w:rsid w:val="006A1CE3"/>
    <w:rsid w:val="006A27A6"/>
    <w:rsid w:val="006B2D30"/>
    <w:rsid w:val="006B3DDD"/>
    <w:rsid w:val="006C6166"/>
    <w:rsid w:val="006C6336"/>
    <w:rsid w:val="00715E18"/>
    <w:rsid w:val="007267EC"/>
    <w:rsid w:val="00730732"/>
    <w:rsid w:val="00737269"/>
    <w:rsid w:val="00744FE1"/>
    <w:rsid w:val="007461E0"/>
    <w:rsid w:val="007533B2"/>
    <w:rsid w:val="0076311E"/>
    <w:rsid w:val="007632E9"/>
    <w:rsid w:val="007636FE"/>
    <w:rsid w:val="00770E9E"/>
    <w:rsid w:val="007760B1"/>
    <w:rsid w:val="00776705"/>
    <w:rsid w:val="007928F5"/>
    <w:rsid w:val="00795E14"/>
    <w:rsid w:val="007A5C47"/>
    <w:rsid w:val="007B481F"/>
    <w:rsid w:val="007B53BF"/>
    <w:rsid w:val="007C2192"/>
    <w:rsid w:val="007C303A"/>
    <w:rsid w:val="007C7547"/>
    <w:rsid w:val="007D1A41"/>
    <w:rsid w:val="007F0E94"/>
    <w:rsid w:val="007F5309"/>
    <w:rsid w:val="00800222"/>
    <w:rsid w:val="00815681"/>
    <w:rsid w:val="00822EC4"/>
    <w:rsid w:val="00827012"/>
    <w:rsid w:val="00827DE5"/>
    <w:rsid w:val="008445F1"/>
    <w:rsid w:val="0085206B"/>
    <w:rsid w:val="00854978"/>
    <w:rsid w:val="00855E25"/>
    <w:rsid w:val="00857742"/>
    <w:rsid w:val="00864010"/>
    <w:rsid w:val="0087208B"/>
    <w:rsid w:val="00872D18"/>
    <w:rsid w:val="008A05F6"/>
    <w:rsid w:val="008A07AB"/>
    <w:rsid w:val="008B1BCE"/>
    <w:rsid w:val="008B2DAC"/>
    <w:rsid w:val="008B46C7"/>
    <w:rsid w:val="008B4937"/>
    <w:rsid w:val="008B4CFF"/>
    <w:rsid w:val="008D2534"/>
    <w:rsid w:val="008D289F"/>
    <w:rsid w:val="008D6DFC"/>
    <w:rsid w:val="008E2B3A"/>
    <w:rsid w:val="008E5C8A"/>
    <w:rsid w:val="008E67D4"/>
    <w:rsid w:val="008F6CA3"/>
    <w:rsid w:val="0090166F"/>
    <w:rsid w:val="0090171F"/>
    <w:rsid w:val="00902A75"/>
    <w:rsid w:val="00904D4D"/>
    <w:rsid w:val="00905BD5"/>
    <w:rsid w:val="0091412B"/>
    <w:rsid w:val="009153C0"/>
    <w:rsid w:val="00942152"/>
    <w:rsid w:val="00950C74"/>
    <w:rsid w:val="009554C5"/>
    <w:rsid w:val="00976314"/>
    <w:rsid w:val="00982782"/>
    <w:rsid w:val="00983E39"/>
    <w:rsid w:val="009969F7"/>
    <w:rsid w:val="009A012F"/>
    <w:rsid w:val="009A6CC0"/>
    <w:rsid w:val="009B3E2B"/>
    <w:rsid w:val="009C62FD"/>
    <w:rsid w:val="009C7209"/>
    <w:rsid w:val="009C756F"/>
    <w:rsid w:val="009D0580"/>
    <w:rsid w:val="009D79C2"/>
    <w:rsid w:val="009E2891"/>
    <w:rsid w:val="009E702D"/>
    <w:rsid w:val="00A02221"/>
    <w:rsid w:val="00A0617B"/>
    <w:rsid w:val="00A14B0E"/>
    <w:rsid w:val="00A15BB2"/>
    <w:rsid w:val="00A16583"/>
    <w:rsid w:val="00A2055E"/>
    <w:rsid w:val="00A23F8C"/>
    <w:rsid w:val="00A2567A"/>
    <w:rsid w:val="00A264E2"/>
    <w:rsid w:val="00A304F5"/>
    <w:rsid w:val="00A34A0F"/>
    <w:rsid w:val="00A40B47"/>
    <w:rsid w:val="00A41148"/>
    <w:rsid w:val="00A431CA"/>
    <w:rsid w:val="00A513B1"/>
    <w:rsid w:val="00A532A1"/>
    <w:rsid w:val="00A600E5"/>
    <w:rsid w:val="00A65DEE"/>
    <w:rsid w:val="00A723F9"/>
    <w:rsid w:val="00A76408"/>
    <w:rsid w:val="00A80B0A"/>
    <w:rsid w:val="00A81774"/>
    <w:rsid w:val="00A82F37"/>
    <w:rsid w:val="00A845C3"/>
    <w:rsid w:val="00A94C6D"/>
    <w:rsid w:val="00AA18FF"/>
    <w:rsid w:val="00AA3375"/>
    <w:rsid w:val="00AC69F5"/>
    <w:rsid w:val="00AD018B"/>
    <w:rsid w:val="00AD7803"/>
    <w:rsid w:val="00AE1146"/>
    <w:rsid w:val="00AF2C70"/>
    <w:rsid w:val="00AF3947"/>
    <w:rsid w:val="00AF460F"/>
    <w:rsid w:val="00B139D6"/>
    <w:rsid w:val="00B16A6E"/>
    <w:rsid w:val="00B20AD0"/>
    <w:rsid w:val="00B234C6"/>
    <w:rsid w:val="00B23BD0"/>
    <w:rsid w:val="00B30F4C"/>
    <w:rsid w:val="00B33545"/>
    <w:rsid w:val="00B358DF"/>
    <w:rsid w:val="00B3711D"/>
    <w:rsid w:val="00B4432E"/>
    <w:rsid w:val="00B523B5"/>
    <w:rsid w:val="00B5662B"/>
    <w:rsid w:val="00B60A1E"/>
    <w:rsid w:val="00B6208B"/>
    <w:rsid w:val="00B6362D"/>
    <w:rsid w:val="00B63D46"/>
    <w:rsid w:val="00B67B99"/>
    <w:rsid w:val="00B72573"/>
    <w:rsid w:val="00B75B0E"/>
    <w:rsid w:val="00B76B26"/>
    <w:rsid w:val="00B76F29"/>
    <w:rsid w:val="00B77276"/>
    <w:rsid w:val="00B839C3"/>
    <w:rsid w:val="00B84F38"/>
    <w:rsid w:val="00B8544F"/>
    <w:rsid w:val="00B91745"/>
    <w:rsid w:val="00BA499A"/>
    <w:rsid w:val="00BB0183"/>
    <w:rsid w:val="00BC24A3"/>
    <w:rsid w:val="00BC2DDE"/>
    <w:rsid w:val="00BD06C5"/>
    <w:rsid w:val="00BD0910"/>
    <w:rsid w:val="00BD6B78"/>
    <w:rsid w:val="00BD7E21"/>
    <w:rsid w:val="00BE0D52"/>
    <w:rsid w:val="00BE42C9"/>
    <w:rsid w:val="00C03D72"/>
    <w:rsid w:val="00C040DA"/>
    <w:rsid w:val="00C04ACB"/>
    <w:rsid w:val="00C06FCC"/>
    <w:rsid w:val="00C07536"/>
    <w:rsid w:val="00C129D0"/>
    <w:rsid w:val="00C13BEE"/>
    <w:rsid w:val="00C14217"/>
    <w:rsid w:val="00C16038"/>
    <w:rsid w:val="00C16CCD"/>
    <w:rsid w:val="00C21F7E"/>
    <w:rsid w:val="00C2408F"/>
    <w:rsid w:val="00C24E43"/>
    <w:rsid w:val="00C45B47"/>
    <w:rsid w:val="00C470DF"/>
    <w:rsid w:val="00C51555"/>
    <w:rsid w:val="00C52809"/>
    <w:rsid w:val="00C5295D"/>
    <w:rsid w:val="00C52CF7"/>
    <w:rsid w:val="00C56B5C"/>
    <w:rsid w:val="00C67C1D"/>
    <w:rsid w:val="00C74380"/>
    <w:rsid w:val="00C74EFB"/>
    <w:rsid w:val="00C83145"/>
    <w:rsid w:val="00C8569D"/>
    <w:rsid w:val="00C916DB"/>
    <w:rsid w:val="00C91964"/>
    <w:rsid w:val="00C979DD"/>
    <w:rsid w:val="00CA4F41"/>
    <w:rsid w:val="00CC1F57"/>
    <w:rsid w:val="00CC5171"/>
    <w:rsid w:val="00CD29D2"/>
    <w:rsid w:val="00CD5BB6"/>
    <w:rsid w:val="00CE416C"/>
    <w:rsid w:val="00CE4C7A"/>
    <w:rsid w:val="00CF239B"/>
    <w:rsid w:val="00D01CB4"/>
    <w:rsid w:val="00D027EE"/>
    <w:rsid w:val="00D10FD9"/>
    <w:rsid w:val="00D125D9"/>
    <w:rsid w:val="00D22FBD"/>
    <w:rsid w:val="00D23632"/>
    <w:rsid w:val="00D3235D"/>
    <w:rsid w:val="00D33954"/>
    <w:rsid w:val="00D35C20"/>
    <w:rsid w:val="00D36EFF"/>
    <w:rsid w:val="00D4061D"/>
    <w:rsid w:val="00D40642"/>
    <w:rsid w:val="00D459F5"/>
    <w:rsid w:val="00D526D3"/>
    <w:rsid w:val="00D579AF"/>
    <w:rsid w:val="00D65A60"/>
    <w:rsid w:val="00D660D7"/>
    <w:rsid w:val="00D97EEB"/>
    <w:rsid w:val="00DA164F"/>
    <w:rsid w:val="00DA2036"/>
    <w:rsid w:val="00DA2784"/>
    <w:rsid w:val="00DB0E3D"/>
    <w:rsid w:val="00DB2FE2"/>
    <w:rsid w:val="00DB6F88"/>
    <w:rsid w:val="00DC0808"/>
    <w:rsid w:val="00DD1933"/>
    <w:rsid w:val="00DE60A0"/>
    <w:rsid w:val="00DE6187"/>
    <w:rsid w:val="00E00328"/>
    <w:rsid w:val="00E005E1"/>
    <w:rsid w:val="00E01107"/>
    <w:rsid w:val="00E13085"/>
    <w:rsid w:val="00E208D1"/>
    <w:rsid w:val="00E20F0F"/>
    <w:rsid w:val="00E242DD"/>
    <w:rsid w:val="00E2518C"/>
    <w:rsid w:val="00E34390"/>
    <w:rsid w:val="00E35DF5"/>
    <w:rsid w:val="00E35E7E"/>
    <w:rsid w:val="00E454A8"/>
    <w:rsid w:val="00E81FCB"/>
    <w:rsid w:val="00E84573"/>
    <w:rsid w:val="00E95A6C"/>
    <w:rsid w:val="00E95EF0"/>
    <w:rsid w:val="00EA3EAA"/>
    <w:rsid w:val="00EB020B"/>
    <w:rsid w:val="00EB2361"/>
    <w:rsid w:val="00EB451F"/>
    <w:rsid w:val="00EC0216"/>
    <w:rsid w:val="00EC4800"/>
    <w:rsid w:val="00EC6770"/>
    <w:rsid w:val="00ED24F3"/>
    <w:rsid w:val="00ED58CE"/>
    <w:rsid w:val="00EE3EA2"/>
    <w:rsid w:val="00EF3F32"/>
    <w:rsid w:val="00F115CF"/>
    <w:rsid w:val="00F12644"/>
    <w:rsid w:val="00F15690"/>
    <w:rsid w:val="00F15ABE"/>
    <w:rsid w:val="00F207A9"/>
    <w:rsid w:val="00F20FED"/>
    <w:rsid w:val="00F26800"/>
    <w:rsid w:val="00F32A33"/>
    <w:rsid w:val="00F3681D"/>
    <w:rsid w:val="00F406B0"/>
    <w:rsid w:val="00F43EDA"/>
    <w:rsid w:val="00F526CA"/>
    <w:rsid w:val="00F71DC8"/>
    <w:rsid w:val="00F73F21"/>
    <w:rsid w:val="00F904A1"/>
    <w:rsid w:val="00F96302"/>
    <w:rsid w:val="00FA710A"/>
    <w:rsid w:val="00FB2CE3"/>
    <w:rsid w:val="00FB390E"/>
    <w:rsid w:val="00FC49C5"/>
    <w:rsid w:val="00FD2931"/>
    <w:rsid w:val="00FE04BF"/>
    <w:rsid w:val="00FE374D"/>
    <w:rsid w:val="00FE37FD"/>
    <w:rsid w:val="00FE3C0F"/>
    <w:rsid w:val="00FF15F3"/>
    <w:rsid w:val="00FF530D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D6FA-E0BF-4454-932D-FCFDD201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2018-08-06T07:32:00Z</cp:lastPrinted>
  <dcterms:created xsi:type="dcterms:W3CDTF">2018-08-06T11:14:00Z</dcterms:created>
  <dcterms:modified xsi:type="dcterms:W3CDTF">2018-08-07T06:14:00Z</dcterms:modified>
</cp:coreProperties>
</file>