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theme/themeOverride8.xml" ContentType="application/vnd.openxmlformats-officedocument.themeOverride+xml"/>
  <Override PartName="/word/charts/chart12.xml" ContentType="application/vnd.openxmlformats-officedocument.drawingml.chart+xml"/>
  <Override PartName="/word/theme/themeOverride9.xml" ContentType="application/vnd.openxmlformats-officedocument.themeOverride+xml"/>
  <Override PartName="/word/charts/chart13.xml" ContentType="application/vnd.openxmlformats-officedocument.drawingml.chart+xml"/>
  <Override PartName="/word/theme/themeOverride10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A5FA3" w14:textId="77777777"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5D33D930" w14:textId="77777777"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291FF2A3" w14:textId="77777777"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49AC15C8" w14:textId="77777777"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69CC66D5" w14:textId="77777777"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6191D6AA" w14:textId="77777777"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32E51711" w14:textId="77777777"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19B2C2D1" w14:textId="77777777"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79E88505" w14:textId="77777777"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6843FA63" w14:textId="77777777" w:rsidR="00693729" w:rsidRPr="00693729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6B9DC696" w14:textId="77777777" w:rsidR="00975DEE" w:rsidRDefault="00975DEE" w:rsidP="00693729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ED86733" w14:textId="77777777" w:rsidR="00975DEE" w:rsidRDefault="00975DEE" w:rsidP="00693729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EFBC8FF" w14:textId="77777777" w:rsidR="00975DEE" w:rsidRDefault="00975DEE" w:rsidP="00693729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2E9A59F" w14:textId="77777777" w:rsidR="00693729" w:rsidRPr="002736F6" w:rsidRDefault="00693729" w:rsidP="00693729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736F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ПОЯСНИТЕЛЬНАЯ ЗАПИСКА </w:t>
      </w:r>
    </w:p>
    <w:p w14:paraId="732CC939" w14:textId="77777777" w:rsidR="002E400F" w:rsidRDefault="00693729" w:rsidP="002E400F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napToGrid w:val="0"/>
          <w:color w:val="000000"/>
          <w:sz w:val="36"/>
          <w:szCs w:val="36"/>
          <w:lang w:eastAsia="ru-RU"/>
        </w:rPr>
      </w:pPr>
      <w:r w:rsidRPr="002736F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 ПРОГНОЗУ </w:t>
      </w:r>
      <w:r w:rsidRPr="002736F6">
        <w:rPr>
          <w:rFonts w:ascii="Times New Roman" w:eastAsia="Times New Roman" w:hAnsi="Times New Roman" w:cs="Times New Roman"/>
          <w:b/>
          <w:snapToGrid w:val="0"/>
          <w:color w:val="000000"/>
          <w:sz w:val="36"/>
          <w:szCs w:val="36"/>
          <w:lang w:eastAsia="ru-RU"/>
        </w:rPr>
        <w:t>СОЦИАЛЬНО-ЭКОНОМИЧЕСКОГО</w:t>
      </w:r>
      <w:r w:rsidR="00741073" w:rsidRPr="002736F6">
        <w:rPr>
          <w:rFonts w:ascii="Times New Roman" w:eastAsia="Times New Roman" w:hAnsi="Times New Roman" w:cs="Times New Roman"/>
          <w:b/>
          <w:snapToGrid w:val="0"/>
          <w:color w:val="000000"/>
          <w:sz w:val="36"/>
          <w:szCs w:val="36"/>
          <w:lang w:eastAsia="ru-RU"/>
        </w:rPr>
        <w:t xml:space="preserve"> </w:t>
      </w:r>
      <w:r w:rsidR="003C672A">
        <w:rPr>
          <w:rFonts w:ascii="Times New Roman" w:eastAsia="Times New Roman" w:hAnsi="Times New Roman" w:cs="Times New Roman"/>
          <w:b/>
          <w:snapToGrid w:val="0"/>
          <w:color w:val="000000"/>
          <w:sz w:val="36"/>
          <w:szCs w:val="36"/>
          <w:lang w:eastAsia="ru-RU"/>
        </w:rPr>
        <w:t>РАЗВИТИЯ ГОРОДА ИВАНОВА НА 2020</w:t>
      </w:r>
      <w:r w:rsidR="002E400F">
        <w:rPr>
          <w:rFonts w:ascii="Times New Roman" w:eastAsia="Times New Roman" w:hAnsi="Times New Roman" w:cs="Times New Roman"/>
          <w:b/>
          <w:snapToGrid w:val="0"/>
          <w:color w:val="000000"/>
          <w:sz w:val="36"/>
          <w:szCs w:val="36"/>
          <w:lang w:eastAsia="ru-RU"/>
        </w:rPr>
        <w:t xml:space="preserve"> ГОД </w:t>
      </w:r>
    </w:p>
    <w:p w14:paraId="28838FB1" w14:textId="183095E8" w:rsidR="00693729" w:rsidRPr="002E400F" w:rsidRDefault="00693729" w:rsidP="002E400F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736F6">
        <w:rPr>
          <w:rFonts w:ascii="Times New Roman" w:eastAsia="Times New Roman" w:hAnsi="Times New Roman" w:cs="Times New Roman"/>
          <w:b/>
          <w:snapToGrid w:val="0"/>
          <w:color w:val="000000"/>
          <w:sz w:val="36"/>
          <w:szCs w:val="36"/>
          <w:lang w:eastAsia="ru-RU"/>
        </w:rPr>
        <w:t xml:space="preserve">И </w:t>
      </w:r>
      <w:r w:rsidR="00C12CCA" w:rsidRPr="002736F6">
        <w:rPr>
          <w:rFonts w:ascii="Times New Roman" w:eastAsia="Times New Roman" w:hAnsi="Times New Roman" w:cs="Times New Roman"/>
          <w:b/>
          <w:snapToGrid w:val="0"/>
          <w:color w:val="000000"/>
          <w:sz w:val="36"/>
          <w:szCs w:val="36"/>
          <w:lang w:eastAsia="ru-RU"/>
        </w:rPr>
        <w:t>ПЛАНОВЫЙ</w:t>
      </w:r>
      <w:r w:rsidR="002E400F">
        <w:rPr>
          <w:rFonts w:ascii="Times New Roman" w:eastAsia="Times New Roman" w:hAnsi="Times New Roman" w:cs="Times New Roman"/>
          <w:b/>
          <w:snapToGrid w:val="0"/>
          <w:color w:val="000000"/>
          <w:sz w:val="36"/>
          <w:szCs w:val="36"/>
          <w:lang w:eastAsia="ru-RU"/>
        </w:rPr>
        <w:t xml:space="preserve"> </w:t>
      </w:r>
      <w:r w:rsidRPr="002736F6">
        <w:rPr>
          <w:rFonts w:ascii="Times New Roman" w:eastAsia="Times New Roman" w:hAnsi="Times New Roman" w:cs="Times New Roman"/>
          <w:b/>
          <w:snapToGrid w:val="0"/>
          <w:color w:val="000000"/>
          <w:sz w:val="36"/>
          <w:szCs w:val="36"/>
          <w:lang w:eastAsia="ru-RU"/>
        </w:rPr>
        <w:t>ПЕРИОД 20</w:t>
      </w:r>
      <w:r w:rsidR="003C672A">
        <w:rPr>
          <w:rFonts w:ascii="Times New Roman" w:eastAsia="Times New Roman" w:hAnsi="Times New Roman" w:cs="Times New Roman"/>
          <w:b/>
          <w:snapToGrid w:val="0"/>
          <w:color w:val="000000"/>
          <w:sz w:val="36"/>
          <w:szCs w:val="36"/>
          <w:lang w:eastAsia="ru-RU"/>
        </w:rPr>
        <w:t>21</w:t>
      </w:r>
      <w:r w:rsidR="00C12CCA" w:rsidRPr="002736F6">
        <w:rPr>
          <w:rFonts w:ascii="Times New Roman" w:eastAsia="Times New Roman" w:hAnsi="Times New Roman" w:cs="Times New Roman"/>
          <w:b/>
          <w:snapToGrid w:val="0"/>
          <w:color w:val="000000"/>
          <w:sz w:val="36"/>
          <w:szCs w:val="36"/>
          <w:lang w:eastAsia="ru-RU"/>
        </w:rPr>
        <w:t xml:space="preserve"> И 20</w:t>
      </w:r>
      <w:r w:rsidRPr="002736F6">
        <w:rPr>
          <w:rFonts w:ascii="Times New Roman" w:eastAsia="Times New Roman" w:hAnsi="Times New Roman" w:cs="Times New Roman"/>
          <w:b/>
          <w:snapToGrid w:val="0"/>
          <w:color w:val="000000"/>
          <w:sz w:val="36"/>
          <w:szCs w:val="36"/>
          <w:lang w:eastAsia="ru-RU"/>
        </w:rPr>
        <w:t>2</w:t>
      </w:r>
      <w:r w:rsidR="003C672A">
        <w:rPr>
          <w:rFonts w:ascii="Times New Roman" w:eastAsia="Times New Roman" w:hAnsi="Times New Roman" w:cs="Times New Roman"/>
          <w:b/>
          <w:snapToGrid w:val="0"/>
          <w:color w:val="000000"/>
          <w:sz w:val="36"/>
          <w:szCs w:val="36"/>
          <w:lang w:eastAsia="ru-RU"/>
        </w:rPr>
        <w:t>2</w:t>
      </w:r>
      <w:r w:rsidRPr="002736F6">
        <w:rPr>
          <w:rFonts w:ascii="Times New Roman" w:eastAsia="Times New Roman" w:hAnsi="Times New Roman" w:cs="Times New Roman"/>
          <w:b/>
          <w:snapToGrid w:val="0"/>
          <w:color w:val="000000"/>
          <w:sz w:val="36"/>
          <w:szCs w:val="36"/>
          <w:lang w:eastAsia="ru-RU"/>
        </w:rPr>
        <w:t xml:space="preserve"> Г</w:t>
      </w:r>
      <w:r w:rsidR="00C12CCA" w:rsidRPr="002736F6">
        <w:rPr>
          <w:rFonts w:ascii="Times New Roman" w:eastAsia="Times New Roman" w:hAnsi="Times New Roman" w:cs="Times New Roman"/>
          <w:b/>
          <w:snapToGrid w:val="0"/>
          <w:color w:val="000000"/>
          <w:sz w:val="36"/>
          <w:szCs w:val="36"/>
          <w:lang w:eastAsia="ru-RU"/>
        </w:rPr>
        <w:t>Г.</w:t>
      </w:r>
    </w:p>
    <w:p w14:paraId="5A2C455A" w14:textId="77777777" w:rsidR="00693729" w:rsidRPr="002736F6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6F6D758B" w14:textId="77777777" w:rsidR="00693729" w:rsidRPr="002736F6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55434C42" w14:textId="77777777" w:rsidR="00693729" w:rsidRPr="002736F6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11D15613" w14:textId="77777777" w:rsidR="00693729" w:rsidRPr="002736F6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26DFBF11" w14:textId="77777777" w:rsidR="00693729" w:rsidRPr="002736F6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70B1B070" w14:textId="77777777" w:rsidR="00693729" w:rsidRPr="002736F6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6BCA9A8B" w14:textId="77777777" w:rsidR="00693729" w:rsidRPr="002736F6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5697A907" w14:textId="77777777" w:rsidR="00693729" w:rsidRPr="002736F6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133C45FD" w14:textId="77777777" w:rsidR="00693729" w:rsidRPr="002736F6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0A55C997" w14:textId="77777777" w:rsidR="00693729" w:rsidRPr="002736F6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18234EB2" w14:textId="77777777" w:rsidR="00693729" w:rsidRPr="002736F6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1D8EB5EB" w14:textId="77777777" w:rsidR="00693729" w:rsidRPr="002736F6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06E5B524" w14:textId="77777777" w:rsidR="00693729" w:rsidRPr="002736F6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3562E578" w14:textId="77777777" w:rsidR="00693729" w:rsidRPr="002736F6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2E09F9B2" w14:textId="77777777" w:rsidR="00693729" w:rsidRPr="002736F6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4FBCF7FB" w14:textId="77777777" w:rsidR="00693729" w:rsidRPr="002736F6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65AA3051" w14:textId="12373709" w:rsidR="00693729" w:rsidRDefault="00693729" w:rsidP="00975DEE">
      <w:pPr>
        <w:tabs>
          <w:tab w:val="left" w:pos="5773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6B472185" w14:textId="77777777" w:rsidR="00975DEE" w:rsidRPr="002736F6" w:rsidRDefault="00975DEE" w:rsidP="00975DEE">
      <w:pPr>
        <w:tabs>
          <w:tab w:val="left" w:pos="5773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4D0C8E75" w14:textId="77777777" w:rsidR="00693729" w:rsidRPr="002736F6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75C20215" w14:textId="77777777" w:rsidR="00693729" w:rsidRPr="002736F6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53243FD8" w14:textId="77777777" w:rsidR="002E400F" w:rsidRDefault="002E400F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58584405" w14:textId="77777777" w:rsidR="002E400F" w:rsidRDefault="002E400F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4D36603D" w14:textId="77777777" w:rsidR="002E400F" w:rsidRDefault="002E400F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3A16D7A2" w14:textId="77777777" w:rsidR="002E400F" w:rsidRDefault="002E400F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1AF3A50C" w14:textId="77777777" w:rsidR="002E400F" w:rsidRDefault="002E400F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100F86F1" w14:textId="77777777" w:rsidR="002E400F" w:rsidRDefault="002E400F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2ED6C8D4" w14:textId="77777777" w:rsidR="00693729" w:rsidRPr="002736F6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2736F6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Иваново 201</w:t>
      </w:r>
      <w:r w:rsidR="003C672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9</w:t>
      </w:r>
      <w:r w:rsidRPr="002736F6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br w:type="page"/>
      </w:r>
    </w:p>
    <w:p w14:paraId="00E347C2" w14:textId="77777777" w:rsidR="00693729" w:rsidRPr="002E400F" w:rsidRDefault="00693729" w:rsidP="00693729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Times New Roman"/>
          <w:b/>
          <w:kern w:val="28"/>
          <w:sz w:val="24"/>
          <w:szCs w:val="28"/>
          <w:lang w:eastAsia="ru-RU"/>
        </w:rPr>
      </w:pPr>
      <w:r w:rsidRPr="002E400F">
        <w:rPr>
          <w:rFonts w:ascii="Times New Roman" w:eastAsia="Times New Roman" w:hAnsi="Times New Roman" w:cs="Times New Roman"/>
          <w:b/>
          <w:kern w:val="28"/>
          <w:sz w:val="24"/>
          <w:szCs w:val="28"/>
          <w:lang w:eastAsia="ru-RU"/>
        </w:rPr>
        <w:lastRenderedPageBreak/>
        <w:t>Содержание</w:t>
      </w:r>
    </w:p>
    <w:p w14:paraId="2A448FAE" w14:textId="77777777" w:rsidR="00693729" w:rsidRDefault="00693729" w:rsidP="00693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6AB3734" w14:textId="77777777" w:rsidR="00975DEE" w:rsidRPr="00975DEE" w:rsidRDefault="00975DEE" w:rsidP="00693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8358"/>
        <w:gridCol w:w="602"/>
      </w:tblGrid>
      <w:tr w:rsidR="00693729" w:rsidRPr="002736F6" w14:paraId="5FAB02E1" w14:textId="77777777" w:rsidTr="002E400F">
        <w:tc>
          <w:tcPr>
            <w:tcW w:w="396" w:type="dxa"/>
            <w:vAlign w:val="center"/>
          </w:tcPr>
          <w:p w14:paraId="2348D484" w14:textId="77777777" w:rsidR="00693729" w:rsidRPr="002736F6" w:rsidRDefault="00693729" w:rsidP="002E400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736F6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8358" w:type="dxa"/>
          </w:tcPr>
          <w:p w14:paraId="3C0D83D0" w14:textId="77777777" w:rsidR="00693729" w:rsidRPr="002736F6" w:rsidRDefault="00693729" w:rsidP="0069372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736F6">
              <w:rPr>
                <w:rFonts w:eastAsia="Times New Roman" w:cs="Times New Roman"/>
                <w:szCs w:val="24"/>
                <w:lang w:eastAsia="ru-RU"/>
              </w:rPr>
              <w:t>Демографические показатели</w:t>
            </w:r>
          </w:p>
        </w:tc>
        <w:tc>
          <w:tcPr>
            <w:tcW w:w="602" w:type="dxa"/>
            <w:vAlign w:val="center"/>
          </w:tcPr>
          <w:p w14:paraId="6D869911" w14:textId="3CD6E365" w:rsidR="00693729" w:rsidRPr="002736F6" w:rsidRDefault="006D78E5" w:rsidP="002E400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693729" w:rsidRPr="002736F6" w14:paraId="00622EB6" w14:textId="77777777" w:rsidTr="002E400F">
        <w:tc>
          <w:tcPr>
            <w:tcW w:w="396" w:type="dxa"/>
            <w:vAlign w:val="center"/>
          </w:tcPr>
          <w:p w14:paraId="3E9A6C8C" w14:textId="77777777" w:rsidR="00693729" w:rsidRPr="002736F6" w:rsidRDefault="00693729" w:rsidP="002E400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736F6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8358" w:type="dxa"/>
          </w:tcPr>
          <w:p w14:paraId="45430589" w14:textId="77777777" w:rsidR="00693729" w:rsidRPr="002736F6" w:rsidRDefault="00693729" w:rsidP="0069372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736F6">
              <w:rPr>
                <w:rFonts w:eastAsia="Times New Roman" w:cs="Times New Roman"/>
                <w:szCs w:val="24"/>
                <w:lang w:eastAsia="ru-RU"/>
              </w:rPr>
              <w:t>Производство товаров и услуг по чистым видам экономической деятельности по организациям, не относящимся к субъектам малого предпринимательства</w:t>
            </w:r>
          </w:p>
        </w:tc>
        <w:tc>
          <w:tcPr>
            <w:tcW w:w="602" w:type="dxa"/>
            <w:vAlign w:val="center"/>
          </w:tcPr>
          <w:p w14:paraId="373827F8" w14:textId="4027217E" w:rsidR="00693729" w:rsidRPr="002736F6" w:rsidRDefault="00364422" w:rsidP="002E400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</w:tr>
      <w:tr w:rsidR="00693729" w:rsidRPr="002736F6" w14:paraId="1D0429E2" w14:textId="77777777" w:rsidTr="002E400F">
        <w:tc>
          <w:tcPr>
            <w:tcW w:w="396" w:type="dxa"/>
            <w:vAlign w:val="center"/>
          </w:tcPr>
          <w:p w14:paraId="51A6B8E2" w14:textId="77777777" w:rsidR="00693729" w:rsidRPr="002736F6" w:rsidRDefault="00693729" w:rsidP="002E400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736F6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8358" w:type="dxa"/>
          </w:tcPr>
          <w:p w14:paraId="040F9BDC" w14:textId="77777777" w:rsidR="00693729" w:rsidRPr="002736F6" w:rsidRDefault="00693729" w:rsidP="0069372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736F6">
              <w:rPr>
                <w:rFonts w:eastAsia="Times New Roman" w:cs="Times New Roman"/>
                <w:szCs w:val="24"/>
                <w:lang w:eastAsia="ru-RU"/>
              </w:rPr>
              <w:t>Строительство</w:t>
            </w:r>
          </w:p>
        </w:tc>
        <w:tc>
          <w:tcPr>
            <w:tcW w:w="602" w:type="dxa"/>
            <w:vAlign w:val="center"/>
          </w:tcPr>
          <w:p w14:paraId="65DAFC0B" w14:textId="7D4F49A2" w:rsidR="00693729" w:rsidRPr="002736F6" w:rsidRDefault="006D78E5" w:rsidP="002E400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</w:tr>
      <w:tr w:rsidR="00693729" w:rsidRPr="002736F6" w14:paraId="49166D60" w14:textId="77777777" w:rsidTr="002E400F">
        <w:tc>
          <w:tcPr>
            <w:tcW w:w="396" w:type="dxa"/>
            <w:vAlign w:val="center"/>
          </w:tcPr>
          <w:p w14:paraId="43C78E8E" w14:textId="77777777" w:rsidR="00693729" w:rsidRPr="002736F6" w:rsidRDefault="00693729" w:rsidP="002E400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736F6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8358" w:type="dxa"/>
          </w:tcPr>
          <w:p w14:paraId="59B4B40D" w14:textId="77777777" w:rsidR="00693729" w:rsidRPr="002736F6" w:rsidRDefault="00693729" w:rsidP="00794732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r w:rsidRPr="002736F6">
              <w:rPr>
                <w:rFonts w:eastAsia="Times New Roman" w:cs="Times New Roman"/>
                <w:szCs w:val="24"/>
                <w:lang w:eastAsia="ru-RU"/>
              </w:rPr>
              <w:t>Малое и среднее предпринимательство</w:t>
            </w:r>
          </w:p>
        </w:tc>
        <w:tc>
          <w:tcPr>
            <w:tcW w:w="602" w:type="dxa"/>
            <w:vAlign w:val="center"/>
          </w:tcPr>
          <w:p w14:paraId="046C4818" w14:textId="13CC621F" w:rsidR="00693729" w:rsidRPr="002736F6" w:rsidRDefault="00364422" w:rsidP="002E400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</w:tr>
      <w:tr w:rsidR="00693729" w:rsidRPr="002736F6" w14:paraId="48827AAE" w14:textId="77777777" w:rsidTr="002E400F">
        <w:tc>
          <w:tcPr>
            <w:tcW w:w="396" w:type="dxa"/>
            <w:vAlign w:val="center"/>
          </w:tcPr>
          <w:p w14:paraId="7C6EDF9A" w14:textId="77777777" w:rsidR="00693729" w:rsidRPr="002736F6" w:rsidRDefault="00693729" w:rsidP="002E400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736F6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8358" w:type="dxa"/>
          </w:tcPr>
          <w:p w14:paraId="44850E15" w14:textId="77777777" w:rsidR="00693729" w:rsidRPr="002736F6" w:rsidRDefault="00693729" w:rsidP="00794732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r w:rsidRPr="002736F6">
              <w:rPr>
                <w:rFonts w:eastAsia="Times New Roman" w:cs="Times New Roman"/>
                <w:szCs w:val="24"/>
                <w:lang w:eastAsia="ru-RU"/>
              </w:rPr>
              <w:t>Инвестиции</w:t>
            </w:r>
          </w:p>
        </w:tc>
        <w:tc>
          <w:tcPr>
            <w:tcW w:w="602" w:type="dxa"/>
            <w:vAlign w:val="center"/>
          </w:tcPr>
          <w:p w14:paraId="3F7A0E46" w14:textId="125DA413" w:rsidR="00693729" w:rsidRPr="002736F6" w:rsidRDefault="00364422" w:rsidP="002E400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</w:tr>
      <w:tr w:rsidR="00693729" w:rsidRPr="002736F6" w14:paraId="325CDE15" w14:textId="77777777" w:rsidTr="002E400F">
        <w:tc>
          <w:tcPr>
            <w:tcW w:w="396" w:type="dxa"/>
            <w:vAlign w:val="center"/>
          </w:tcPr>
          <w:p w14:paraId="50A94A97" w14:textId="77777777" w:rsidR="00693729" w:rsidRPr="002736F6" w:rsidRDefault="00693729" w:rsidP="002E400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736F6">
              <w:rPr>
                <w:rFonts w:eastAsia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8358" w:type="dxa"/>
          </w:tcPr>
          <w:p w14:paraId="099F537B" w14:textId="77777777" w:rsidR="00693729" w:rsidRPr="002736F6" w:rsidRDefault="00693729" w:rsidP="00794732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r w:rsidRPr="002736F6">
              <w:rPr>
                <w:rFonts w:eastAsia="Times New Roman" w:cs="Times New Roman"/>
                <w:szCs w:val="24"/>
                <w:lang w:eastAsia="ru-RU"/>
              </w:rPr>
              <w:t>Труд и занятость</w:t>
            </w:r>
          </w:p>
        </w:tc>
        <w:tc>
          <w:tcPr>
            <w:tcW w:w="602" w:type="dxa"/>
            <w:vAlign w:val="center"/>
          </w:tcPr>
          <w:p w14:paraId="40525A3E" w14:textId="48B887FC" w:rsidR="00693729" w:rsidRPr="002736F6" w:rsidRDefault="00364422" w:rsidP="002E400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</w:tr>
      <w:tr w:rsidR="00693729" w:rsidRPr="002736F6" w14:paraId="753562A1" w14:textId="77777777" w:rsidTr="002E400F">
        <w:tc>
          <w:tcPr>
            <w:tcW w:w="396" w:type="dxa"/>
            <w:vAlign w:val="center"/>
          </w:tcPr>
          <w:p w14:paraId="2FC09223" w14:textId="77777777" w:rsidR="00693729" w:rsidRPr="002736F6" w:rsidRDefault="00693729" w:rsidP="002E400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736F6">
              <w:rPr>
                <w:rFonts w:eastAsia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8358" w:type="dxa"/>
          </w:tcPr>
          <w:p w14:paraId="09B31FA3" w14:textId="77777777" w:rsidR="00693729" w:rsidRPr="002736F6" w:rsidRDefault="00693729" w:rsidP="00794732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r w:rsidRPr="002736F6">
              <w:rPr>
                <w:rFonts w:eastAsia="Times New Roman" w:cs="Times New Roman"/>
                <w:szCs w:val="24"/>
                <w:lang w:eastAsia="ru-RU"/>
              </w:rPr>
              <w:t>Развитие социальной сферы</w:t>
            </w:r>
          </w:p>
        </w:tc>
        <w:tc>
          <w:tcPr>
            <w:tcW w:w="602" w:type="dxa"/>
            <w:vAlign w:val="center"/>
          </w:tcPr>
          <w:p w14:paraId="37D1584D" w14:textId="602E1E3F" w:rsidR="00693729" w:rsidRPr="002736F6" w:rsidRDefault="00364422" w:rsidP="002E400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</w:tr>
      <w:tr w:rsidR="00693729" w:rsidRPr="002736F6" w14:paraId="0634CD43" w14:textId="77777777" w:rsidTr="002E400F">
        <w:tc>
          <w:tcPr>
            <w:tcW w:w="396" w:type="dxa"/>
            <w:vAlign w:val="center"/>
          </w:tcPr>
          <w:p w14:paraId="1C15A078" w14:textId="77777777" w:rsidR="00693729" w:rsidRPr="002736F6" w:rsidRDefault="00693729" w:rsidP="002E400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736F6">
              <w:rPr>
                <w:rFonts w:eastAsia="Times New Roman" w:cs="Times New Roman"/>
                <w:szCs w:val="24"/>
                <w:lang w:eastAsia="ru-RU"/>
              </w:rPr>
              <w:t>8.</w:t>
            </w:r>
          </w:p>
        </w:tc>
        <w:tc>
          <w:tcPr>
            <w:tcW w:w="8358" w:type="dxa"/>
          </w:tcPr>
          <w:p w14:paraId="04B9D751" w14:textId="77777777" w:rsidR="00693729" w:rsidRPr="002736F6" w:rsidRDefault="00693729" w:rsidP="00794732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736F6">
              <w:rPr>
                <w:rFonts w:eastAsia="Times New Roman" w:cs="Times New Roman"/>
                <w:szCs w:val="24"/>
                <w:lang w:eastAsia="ru-RU"/>
              </w:rPr>
              <w:t>Выбросы загрязняющих веществ в атмосферный воздух,</w:t>
            </w:r>
          </w:p>
          <w:p w14:paraId="6885E8FC" w14:textId="77777777" w:rsidR="00693729" w:rsidRPr="002736F6" w:rsidRDefault="00693729" w:rsidP="00794732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r w:rsidRPr="002736F6">
              <w:rPr>
                <w:rFonts w:eastAsia="Times New Roman" w:cs="Times New Roman"/>
                <w:szCs w:val="24"/>
                <w:lang w:eastAsia="ru-RU"/>
              </w:rPr>
              <w:t>отходящих от стационарных источников</w:t>
            </w:r>
          </w:p>
        </w:tc>
        <w:tc>
          <w:tcPr>
            <w:tcW w:w="602" w:type="dxa"/>
            <w:vAlign w:val="center"/>
          </w:tcPr>
          <w:p w14:paraId="7447EBFA" w14:textId="13D8B17C" w:rsidR="00B54C48" w:rsidRPr="002736F6" w:rsidRDefault="00364422" w:rsidP="002E400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</w:t>
            </w:r>
          </w:p>
        </w:tc>
      </w:tr>
    </w:tbl>
    <w:p w14:paraId="32B32522" w14:textId="77777777" w:rsidR="00693729" w:rsidRPr="002736F6" w:rsidRDefault="00693729" w:rsidP="00693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DA4601F" w14:textId="77777777" w:rsidR="00693729" w:rsidRPr="002736F6" w:rsidRDefault="00693729" w:rsidP="006937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460845C6" w14:textId="77777777" w:rsidR="003D7A01" w:rsidRPr="002E400F" w:rsidRDefault="00693729" w:rsidP="0069372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Пояснительная записка </w:t>
      </w:r>
    </w:p>
    <w:p w14:paraId="448EE17F" w14:textId="77777777" w:rsidR="0082386E" w:rsidRDefault="00693729" w:rsidP="002E400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2E4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прогнозу </w:t>
      </w:r>
      <w:r w:rsidRPr="002E400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социально-экономического</w:t>
      </w:r>
      <w:r w:rsidR="003C672A" w:rsidRPr="002E400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развития </w:t>
      </w:r>
    </w:p>
    <w:p w14:paraId="5E0B9B3E" w14:textId="5FA9B7CD" w:rsidR="00693729" w:rsidRPr="002E400F" w:rsidRDefault="003C672A" w:rsidP="0082386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2E400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города Иванова на 2020</w:t>
      </w:r>
      <w:r w:rsidR="00693729" w:rsidRPr="002E400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год и </w:t>
      </w:r>
      <w:r w:rsidR="00C12CCA" w:rsidRPr="002E400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плановый </w:t>
      </w:r>
      <w:r w:rsidR="00693729" w:rsidRPr="002E400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период </w:t>
      </w:r>
      <w:r w:rsidRPr="002E400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2021</w:t>
      </w:r>
      <w:r w:rsidR="00C12CCA" w:rsidRPr="002E400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и</w:t>
      </w:r>
      <w:r w:rsidR="00693729" w:rsidRPr="002E400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202</w:t>
      </w:r>
      <w:r w:rsidRPr="002E400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2</w:t>
      </w:r>
      <w:r w:rsidR="00693729" w:rsidRPr="002E400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г</w:t>
      </w:r>
      <w:r w:rsidR="00C12CCA" w:rsidRPr="002E400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г.</w:t>
      </w:r>
    </w:p>
    <w:p w14:paraId="04D6CBBE" w14:textId="77777777" w:rsidR="007C549F" w:rsidRDefault="007C549F" w:rsidP="002E400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3774BE87" w14:textId="77777777" w:rsidR="002E400F" w:rsidRPr="002E400F" w:rsidRDefault="002E400F" w:rsidP="002E400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4B510E34" w14:textId="2190C74F" w:rsidR="00C137EC" w:rsidRPr="002E400F" w:rsidRDefault="002E2F71" w:rsidP="002E400F">
      <w:pPr>
        <w:pStyle w:val="ConsPlusNormal"/>
        <w:ind w:firstLine="709"/>
        <w:jc w:val="both"/>
        <w:rPr>
          <w:szCs w:val="24"/>
        </w:rPr>
      </w:pPr>
      <w:r w:rsidRPr="002E400F">
        <w:rPr>
          <w:szCs w:val="24"/>
        </w:rPr>
        <w:t>П</w:t>
      </w:r>
      <w:r w:rsidR="00C137EC" w:rsidRPr="002E400F">
        <w:rPr>
          <w:szCs w:val="24"/>
        </w:rPr>
        <w:t xml:space="preserve">рогноз социально-экономического развития городского округа Иваново </w:t>
      </w:r>
      <w:r w:rsidR="002E400F">
        <w:rPr>
          <w:szCs w:val="24"/>
        </w:rPr>
        <w:t xml:space="preserve">                 </w:t>
      </w:r>
      <w:r w:rsidR="003C672A" w:rsidRPr="002E400F">
        <w:rPr>
          <w:szCs w:val="24"/>
        </w:rPr>
        <w:t>на 2020</w:t>
      </w:r>
      <w:r w:rsidR="00C137EC" w:rsidRPr="002E400F">
        <w:rPr>
          <w:szCs w:val="24"/>
        </w:rPr>
        <w:t xml:space="preserve"> год </w:t>
      </w:r>
      <w:r w:rsidR="003C672A" w:rsidRPr="002E400F">
        <w:rPr>
          <w:bCs/>
          <w:szCs w:val="24"/>
        </w:rPr>
        <w:t>и плановый период 2021 и 2022</w:t>
      </w:r>
      <w:r w:rsidR="00C137EC" w:rsidRPr="002E400F">
        <w:rPr>
          <w:bCs/>
          <w:szCs w:val="24"/>
        </w:rPr>
        <w:t xml:space="preserve"> гг.</w:t>
      </w:r>
      <w:r w:rsidR="00C137EC" w:rsidRPr="002E400F">
        <w:rPr>
          <w:szCs w:val="24"/>
        </w:rPr>
        <w:t xml:space="preserve"> разработан на основе:</w:t>
      </w:r>
    </w:p>
    <w:p w14:paraId="7F9AC1C5" w14:textId="2C6DB544" w:rsidR="00C137EC" w:rsidRPr="002E400F" w:rsidRDefault="00C137EC" w:rsidP="002E400F">
      <w:pPr>
        <w:pStyle w:val="ConsPlusNormal"/>
        <w:ind w:firstLine="709"/>
        <w:jc w:val="both"/>
        <w:rPr>
          <w:szCs w:val="24"/>
        </w:rPr>
      </w:pPr>
      <w:r w:rsidRPr="002E400F">
        <w:rPr>
          <w:szCs w:val="24"/>
        </w:rPr>
        <w:t>- сценарных условий социально-экономического развития РФ, а также ориентиров и приоритетов социально-экономического разв</w:t>
      </w:r>
      <w:r w:rsidR="002E400F">
        <w:rPr>
          <w:szCs w:val="24"/>
        </w:rPr>
        <w:t>ития, сформули</w:t>
      </w:r>
      <w:r w:rsidRPr="002E400F">
        <w:rPr>
          <w:szCs w:val="24"/>
        </w:rPr>
        <w:t>рованных в указах Президента Российской Федерации;</w:t>
      </w:r>
    </w:p>
    <w:p w14:paraId="6F089D72" w14:textId="186ED59C" w:rsidR="00C137EC" w:rsidRPr="002E400F" w:rsidRDefault="00C137EC" w:rsidP="002E400F">
      <w:pPr>
        <w:pStyle w:val="ConsPlusNormal"/>
        <w:ind w:firstLine="709"/>
        <w:jc w:val="both"/>
        <w:rPr>
          <w:szCs w:val="24"/>
        </w:rPr>
      </w:pPr>
      <w:r w:rsidRPr="002E400F">
        <w:rPr>
          <w:szCs w:val="24"/>
        </w:rPr>
        <w:t>- анализа тенденций развития эконо</w:t>
      </w:r>
      <w:r w:rsidR="002E400F">
        <w:rPr>
          <w:szCs w:val="24"/>
        </w:rPr>
        <w:t xml:space="preserve">мики городского округа Иваново </w:t>
      </w:r>
      <w:r w:rsidRPr="002E400F">
        <w:rPr>
          <w:szCs w:val="24"/>
        </w:rPr>
        <w:t>за 201</w:t>
      </w:r>
      <w:r w:rsidR="00C72483" w:rsidRPr="002E400F">
        <w:rPr>
          <w:szCs w:val="24"/>
        </w:rPr>
        <w:t>8</w:t>
      </w:r>
      <w:r w:rsidRPr="002E400F">
        <w:rPr>
          <w:szCs w:val="24"/>
        </w:rPr>
        <w:t xml:space="preserve"> год </w:t>
      </w:r>
      <w:r w:rsidR="002E400F">
        <w:rPr>
          <w:szCs w:val="24"/>
        </w:rPr>
        <w:t xml:space="preserve">           </w:t>
      </w:r>
      <w:r w:rsidRPr="002E400F">
        <w:rPr>
          <w:szCs w:val="24"/>
        </w:rPr>
        <w:t>и сложившей</w:t>
      </w:r>
      <w:r w:rsidR="00C72483" w:rsidRPr="002E400F">
        <w:rPr>
          <w:szCs w:val="24"/>
        </w:rPr>
        <w:t>ся экономической ситуации в 2019</w:t>
      </w:r>
      <w:r w:rsidRPr="002E400F">
        <w:rPr>
          <w:szCs w:val="24"/>
        </w:rPr>
        <w:t xml:space="preserve"> году на основе данных, предоставленных территориальным органом Федеральной службы государственной статистики </w:t>
      </w:r>
      <w:r w:rsidR="002E400F">
        <w:rPr>
          <w:szCs w:val="24"/>
        </w:rPr>
        <w:t xml:space="preserve">                          </w:t>
      </w:r>
      <w:r w:rsidRPr="002E400F">
        <w:rPr>
          <w:szCs w:val="24"/>
        </w:rPr>
        <w:t xml:space="preserve">по Ивановской области (далее – Ивановостат); </w:t>
      </w:r>
    </w:p>
    <w:p w14:paraId="388D1A6C" w14:textId="437F7588" w:rsidR="00C137EC" w:rsidRPr="002E400F" w:rsidRDefault="00C137EC" w:rsidP="002E400F">
      <w:pPr>
        <w:pStyle w:val="ConsPlusNormal"/>
        <w:ind w:firstLine="709"/>
        <w:jc w:val="both"/>
        <w:rPr>
          <w:szCs w:val="24"/>
        </w:rPr>
      </w:pPr>
      <w:r w:rsidRPr="002E400F">
        <w:rPr>
          <w:szCs w:val="24"/>
        </w:rPr>
        <w:t xml:space="preserve">- Федерального закона от 28.06.2014 № 172-ФЗ «О стратегическом планировании </w:t>
      </w:r>
      <w:r w:rsidR="002E400F">
        <w:rPr>
          <w:szCs w:val="24"/>
        </w:rPr>
        <w:t xml:space="preserve">              </w:t>
      </w:r>
      <w:r w:rsidRPr="002E400F">
        <w:rPr>
          <w:szCs w:val="24"/>
        </w:rPr>
        <w:t>в Российской Федерации»;</w:t>
      </w:r>
    </w:p>
    <w:p w14:paraId="183B6C64" w14:textId="1203098F" w:rsidR="00C137EC" w:rsidRPr="002E400F" w:rsidRDefault="002E400F" w:rsidP="002E400F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C137EC" w:rsidRPr="002E400F">
        <w:rPr>
          <w:szCs w:val="24"/>
        </w:rPr>
        <w:t xml:space="preserve">стратегии развития городского округа Иваново до 2020 года, утвержденной решением Ивановской городской Думы </w:t>
      </w:r>
      <w:r w:rsidR="00C137EC" w:rsidRPr="002E400F">
        <w:rPr>
          <w:rFonts w:eastAsiaTheme="minorHAnsi"/>
          <w:szCs w:val="24"/>
          <w:lang w:eastAsia="en-US"/>
        </w:rPr>
        <w:t>от 26.12.2008 № 967;</w:t>
      </w:r>
    </w:p>
    <w:p w14:paraId="3AB9F2EC" w14:textId="0A4D9BAB" w:rsidR="00C137EC" w:rsidRPr="002E400F" w:rsidRDefault="002E400F" w:rsidP="002E400F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C137EC" w:rsidRPr="002E400F">
        <w:rPr>
          <w:szCs w:val="24"/>
        </w:rPr>
        <w:t>постановления Администрации город</w:t>
      </w:r>
      <w:r>
        <w:rPr>
          <w:szCs w:val="24"/>
        </w:rPr>
        <w:t xml:space="preserve">а Иванова от 01.08.2013 № 1606                          </w:t>
      </w:r>
      <w:r w:rsidR="00C137EC" w:rsidRPr="002E400F">
        <w:rPr>
          <w:szCs w:val="24"/>
        </w:rPr>
        <w:t xml:space="preserve">«Об утверждении Порядка составления </w:t>
      </w:r>
      <w:r>
        <w:rPr>
          <w:szCs w:val="24"/>
        </w:rPr>
        <w:t xml:space="preserve">проекта бюджета города Иванова </w:t>
      </w:r>
      <w:r w:rsidR="00C137EC" w:rsidRPr="002E400F">
        <w:rPr>
          <w:szCs w:val="24"/>
        </w:rPr>
        <w:t>на очередной финансовый год и плановый период»;</w:t>
      </w:r>
    </w:p>
    <w:p w14:paraId="0AA9233A" w14:textId="0430419D" w:rsidR="00C137EC" w:rsidRPr="002E400F" w:rsidRDefault="002E400F" w:rsidP="002E400F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C137EC" w:rsidRPr="002E400F">
        <w:rPr>
          <w:szCs w:val="24"/>
        </w:rPr>
        <w:t>постановления Администрации горо</w:t>
      </w:r>
      <w:r>
        <w:rPr>
          <w:szCs w:val="24"/>
        </w:rPr>
        <w:t xml:space="preserve">да Иванова от 24.04.2015 № 902                          </w:t>
      </w:r>
      <w:r w:rsidR="00C137EC" w:rsidRPr="002E400F">
        <w:rPr>
          <w:szCs w:val="24"/>
        </w:rPr>
        <w:t xml:space="preserve">«Об утверждении Порядка разработки, корректировки, осуществления мониторинга </w:t>
      </w:r>
      <w:r>
        <w:rPr>
          <w:szCs w:val="24"/>
        </w:rPr>
        <w:t xml:space="preserve">                  </w:t>
      </w:r>
      <w:r w:rsidR="00C137EC" w:rsidRPr="002E400F">
        <w:rPr>
          <w:szCs w:val="24"/>
        </w:rPr>
        <w:t>и контроля реализации среднесрочного прогноза социально-экономического развития города Иванова на очередной финансовый год и плановый период».</w:t>
      </w:r>
    </w:p>
    <w:p w14:paraId="15B9133B" w14:textId="4002170E" w:rsidR="00C137EC" w:rsidRPr="002E400F" w:rsidRDefault="00043ABE" w:rsidP="002E400F">
      <w:pPr>
        <w:pStyle w:val="ConsPlusNormal"/>
        <w:ind w:firstLine="709"/>
        <w:jc w:val="both"/>
        <w:rPr>
          <w:szCs w:val="24"/>
          <w:highlight w:val="yellow"/>
        </w:rPr>
      </w:pPr>
      <w:r w:rsidRPr="002E400F">
        <w:rPr>
          <w:szCs w:val="24"/>
        </w:rPr>
        <w:t>В</w:t>
      </w:r>
      <w:r w:rsidR="00C137EC" w:rsidRPr="002E400F">
        <w:rPr>
          <w:szCs w:val="24"/>
        </w:rPr>
        <w:t xml:space="preserve"> представленном прогнозе </w:t>
      </w:r>
      <w:r w:rsidRPr="002E400F">
        <w:rPr>
          <w:szCs w:val="24"/>
        </w:rPr>
        <w:t xml:space="preserve">скорректированы оценочные значения показателей </w:t>
      </w:r>
      <w:r w:rsidR="002E400F">
        <w:rPr>
          <w:szCs w:val="24"/>
        </w:rPr>
        <w:t xml:space="preserve">            </w:t>
      </w:r>
      <w:r w:rsidRPr="002E400F">
        <w:rPr>
          <w:szCs w:val="24"/>
        </w:rPr>
        <w:t xml:space="preserve">на 2019 год и их прогноз на плановый период </w:t>
      </w:r>
      <w:r w:rsidR="00C137EC" w:rsidRPr="002E400F">
        <w:rPr>
          <w:szCs w:val="24"/>
        </w:rPr>
        <w:t>по сравнению с прогнозом социально-экономического развития на 201</w:t>
      </w:r>
      <w:r w:rsidR="003D151B" w:rsidRPr="002E400F">
        <w:rPr>
          <w:szCs w:val="24"/>
        </w:rPr>
        <w:t>9 год и плановый период 2020</w:t>
      </w:r>
      <w:r w:rsidR="00C137EC" w:rsidRPr="002E400F">
        <w:rPr>
          <w:szCs w:val="24"/>
        </w:rPr>
        <w:t xml:space="preserve"> и 202</w:t>
      </w:r>
      <w:r w:rsidR="003D151B" w:rsidRPr="002E400F">
        <w:rPr>
          <w:szCs w:val="24"/>
        </w:rPr>
        <w:t>1</w:t>
      </w:r>
      <w:r w:rsidR="00C137EC" w:rsidRPr="002E400F">
        <w:rPr>
          <w:szCs w:val="24"/>
        </w:rPr>
        <w:t xml:space="preserve"> гг. (постановление Администра</w:t>
      </w:r>
      <w:r w:rsidR="003D151B" w:rsidRPr="002E400F">
        <w:rPr>
          <w:szCs w:val="24"/>
        </w:rPr>
        <w:t>ции города Иванова от 15.11.2018</w:t>
      </w:r>
      <w:r w:rsidR="00C137EC" w:rsidRPr="002E400F">
        <w:rPr>
          <w:szCs w:val="24"/>
        </w:rPr>
        <w:t xml:space="preserve"> </w:t>
      </w:r>
      <w:r w:rsidR="007E4A23" w:rsidRPr="002E400F">
        <w:rPr>
          <w:szCs w:val="24"/>
        </w:rPr>
        <w:t xml:space="preserve">№ </w:t>
      </w:r>
      <w:r w:rsidR="003D151B" w:rsidRPr="002E400F">
        <w:rPr>
          <w:szCs w:val="24"/>
        </w:rPr>
        <w:t>1509</w:t>
      </w:r>
      <w:r w:rsidR="00C21826" w:rsidRPr="002E400F">
        <w:rPr>
          <w:szCs w:val="24"/>
        </w:rPr>
        <w:t xml:space="preserve"> (далее – прогноз на 2019-2021</w:t>
      </w:r>
      <w:r w:rsidR="002E400F">
        <w:rPr>
          <w:szCs w:val="24"/>
        </w:rPr>
        <w:t xml:space="preserve"> </w:t>
      </w:r>
      <w:r w:rsidR="00C21826" w:rsidRPr="002E400F">
        <w:rPr>
          <w:szCs w:val="24"/>
        </w:rPr>
        <w:t>гг.)</w:t>
      </w:r>
      <w:r w:rsidRPr="002E400F">
        <w:rPr>
          <w:szCs w:val="24"/>
        </w:rPr>
        <w:t xml:space="preserve">) на основании анализа текущей ситуации развития экономики города Иванова и сценарных условий, разработанных Минэкономразвития России. </w:t>
      </w:r>
    </w:p>
    <w:p w14:paraId="2FD9E6D8" w14:textId="77777777" w:rsidR="002E400F" w:rsidRDefault="002E400F" w:rsidP="007E4A23">
      <w:pPr>
        <w:pStyle w:val="ConsPlusNormal"/>
        <w:ind w:firstLine="540"/>
        <w:jc w:val="both"/>
        <w:rPr>
          <w:szCs w:val="24"/>
        </w:rPr>
      </w:pPr>
    </w:p>
    <w:p w14:paraId="3C0CF29F" w14:textId="77777777" w:rsidR="002E400F" w:rsidRPr="002E400F" w:rsidRDefault="002E400F" w:rsidP="007E4A23">
      <w:pPr>
        <w:pStyle w:val="ConsPlusNormal"/>
        <w:ind w:firstLine="540"/>
        <w:jc w:val="both"/>
        <w:rPr>
          <w:szCs w:val="24"/>
        </w:rPr>
      </w:pPr>
    </w:p>
    <w:p w14:paraId="066D9FF0" w14:textId="491028A5" w:rsidR="00693729" w:rsidRDefault="002E400F" w:rsidP="002E400F">
      <w:pPr>
        <w:pStyle w:val="ae"/>
        <w:jc w:val="center"/>
        <w:rPr>
          <w:b/>
        </w:rPr>
      </w:pPr>
      <w:r w:rsidRPr="002E400F">
        <w:rPr>
          <w:b/>
        </w:rPr>
        <w:t xml:space="preserve">1. </w:t>
      </w:r>
      <w:r w:rsidR="00693729" w:rsidRPr="002E400F">
        <w:rPr>
          <w:b/>
        </w:rPr>
        <w:t>Демографические показатели</w:t>
      </w:r>
    </w:p>
    <w:p w14:paraId="5579C87B" w14:textId="77777777" w:rsidR="002E400F" w:rsidRPr="002E400F" w:rsidRDefault="002E400F" w:rsidP="002E400F">
      <w:pPr>
        <w:pStyle w:val="ae"/>
        <w:jc w:val="center"/>
        <w:rPr>
          <w:b/>
        </w:rPr>
      </w:pPr>
    </w:p>
    <w:p w14:paraId="369D5EFA" w14:textId="14CA24DD" w:rsidR="00997540" w:rsidRPr="002E400F" w:rsidRDefault="00997540" w:rsidP="00F821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Показатели, запланированные на 2018 год по численности населения в прогнозе </w:t>
      </w:r>
      <w:r w:rsid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</w:t>
      </w:r>
      <w:r w:rsidR="00C21826" w:rsidRPr="002E40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2019-2021</w:t>
      </w:r>
      <w:r w:rsidR="002E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826" w:rsidRPr="002E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гг.</w:t>
      </w:r>
      <w:r w:rsidRP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достигнуты, отклонение фактических показателей от плановых </w:t>
      </w:r>
      <w:r w:rsidR="00C21826" w:rsidRP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–</w:t>
      </w:r>
      <w:r w:rsidRP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0,02%. Среднегодовая численность в 2018 году составила 405,58 тыс. чел., или 99,77% </w:t>
      </w:r>
      <w:r w:rsid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</w:t>
      </w:r>
      <w:r w:rsidRP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 2017 году. Сокращение численности населения произошло за счет естественной убыли.</w:t>
      </w:r>
    </w:p>
    <w:p w14:paraId="4E517DC7" w14:textId="29F4DD39" w:rsidR="00997540" w:rsidRPr="002E400F" w:rsidRDefault="00997540" w:rsidP="009975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 предварительным данным Ивановостат на 01.08.2019 численность населения города Иванова составила 403,51 тыс. чел., сократившись с начала года на 0,4%. </w:t>
      </w:r>
    </w:p>
    <w:p w14:paraId="275316C8" w14:textId="2624A896" w:rsidR="00997540" w:rsidRPr="002E400F" w:rsidRDefault="00997540" w:rsidP="009975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январе-июле 2019 года в областном центре родилось 1 990 чел., </w:t>
      </w:r>
      <w:r w:rsidR="00C21826" w:rsidRP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что </w:t>
      </w:r>
      <w:r w:rsidRP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11,0% ниже соответствующего периода 2018 года. Негативное влияние на демографическую ситуацию, как и в 2018 году, оказывает сокращение числа женщин ранне-</w:t>
      </w:r>
      <w:r w:rsid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и средне</w:t>
      </w:r>
      <w:r w:rsidRP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репродуктивного возраста (20-34 года), а также тенденция к откладыванию рождения первого ребенка на более поздний период. </w:t>
      </w:r>
    </w:p>
    <w:p w14:paraId="399DC82E" w14:textId="3D26FC31" w:rsidR="00997540" w:rsidRPr="002E400F" w:rsidRDefault="00997540" w:rsidP="002E40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связи с этим оценочный показатель по уровню рождаемости на 2019 год </w:t>
      </w:r>
      <w:r w:rsid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 прогнозные значения на плановый период скорректированы в сторону уменьшения </w:t>
      </w:r>
      <w:r w:rsid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</w:t>
      </w:r>
      <w:r w:rsidRP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 сравнению с прогнозом </w:t>
      </w:r>
      <w:r w:rsidR="003B2E9D" w:rsidRPr="002E40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2019-2021</w:t>
      </w:r>
      <w:r w:rsidR="002E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E9D" w:rsidRPr="002E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r w:rsidRP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</w:p>
    <w:p w14:paraId="75155829" w14:textId="1AC77310" w:rsidR="00997540" w:rsidRPr="002E400F" w:rsidRDefault="00997540" w:rsidP="009975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Одновременно со снижением рождаемости наблюдается незначительное увеличение смертности, </w:t>
      </w:r>
      <w:r w:rsidR="00C21826" w:rsidRP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за 7 месяцев 2019 года </w:t>
      </w:r>
      <w:r w:rsidRP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умерло 3 386 чел., что на 0,5% выше аналогичного периода 201</w:t>
      </w:r>
      <w:r w:rsidR="00C21826" w:rsidRP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8</w:t>
      </w:r>
      <w:r w:rsidRP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года, уровень смертности выше уровня рождаемости в 1,7 раза (в январе-июле 2018 года – в 1,5 раза). </w:t>
      </w:r>
    </w:p>
    <w:p w14:paraId="4EE419B9" w14:textId="400C9117" w:rsidR="00997540" w:rsidRPr="002E400F" w:rsidRDefault="00997540" w:rsidP="009975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И как следствие</w:t>
      </w:r>
      <w:r w:rsidR="001C65D3" w:rsidRP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r w:rsidRP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естественная убыль за 7 месяцев 2019 года</w:t>
      </w:r>
      <w:r w:rsidR="001C65D3" w:rsidRP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r w:rsidRP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увеличившись </w:t>
      </w:r>
      <w:r w:rsid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</w:t>
      </w:r>
      <w:r w:rsidRP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 сравнению с аналогичн</w:t>
      </w:r>
      <w:r w:rsidR="001C65D3" w:rsidRP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ым периодом 2018 года на 23,1%,</w:t>
      </w:r>
      <w:r w:rsidRP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составила 1 396 чел. </w:t>
      </w:r>
    </w:p>
    <w:p w14:paraId="1FBBBFBA" w14:textId="73600EFE" w:rsidR="00997540" w:rsidRPr="002E400F" w:rsidRDefault="00997540" w:rsidP="009975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Миграционный отток в январе-июле 2019 года составил 146 чел., или 29,4% </w:t>
      </w:r>
      <w:r w:rsid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</w:t>
      </w:r>
      <w:r w:rsidRP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 аналогичному периоду 2018 года (за 7 месяцев 2018 года отток составлял </w:t>
      </w:r>
      <w:r w:rsidR="00C21826" w:rsidRP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496 чел.). Н</w:t>
      </w:r>
      <w:r w:rsidRP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есмотря на это, </w:t>
      </w:r>
      <w:r w:rsidR="007D66C8" w:rsidRP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 окончании</w:t>
      </w:r>
      <w:r w:rsidRP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2018 года наблюдалась положительная миграция </w:t>
      </w:r>
      <w:r w:rsid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</w:t>
      </w:r>
      <w:r w:rsidRP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(+ 813 чел.). По </w:t>
      </w:r>
      <w:r w:rsidR="00520A39" w:rsidRP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итогам</w:t>
      </w:r>
      <w:r w:rsidRP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2019 года также ожидается положительная миграция в пределах 950 чел., чему будет способствовать стабильная ситуация на рынке труда и рост заработной платы. Приток мигрантов будет частично компенсировать естественную убыль населения. </w:t>
      </w:r>
    </w:p>
    <w:p w14:paraId="00B6FD2B" w14:textId="472C2ECB" w:rsidR="00997540" w:rsidRPr="002E400F" w:rsidRDefault="00997540" w:rsidP="009975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основании динамики демографических показателей оценочные показатели </w:t>
      </w:r>
      <w:r w:rsid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</w:t>
      </w:r>
      <w:r w:rsidRP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 численности населения на 2019 год и плановый период до 2022 года скорректированы в сторону уменьшения по сравнению с прогнозом </w:t>
      </w:r>
      <w:r w:rsidR="00F02440" w:rsidRPr="002E40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2019-2021</w:t>
      </w:r>
      <w:r w:rsidR="00F02440" w:rsidRP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гг. </w:t>
      </w:r>
    </w:p>
    <w:p w14:paraId="071B0FC0" w14:textId="050BF9A4" w:rsidR="00997540" w:rsidRDefault="00997540" w:rsidP="009975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 оценке в 2019 году среднегодовая численность населения составит </w:t>
      </w:r>
      <w:r w:rsid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404,52 тыс. чел., основные демографические пока</w:t>
      </w:r>
      <w:r w:rsid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затели в пересчете на 1000 чел. </w:t>
      </w:r>
      <w:r w:rsidRP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населения будут выглядеть следующим образом (промилле): коэффициент рождаемости составит 9,15; смертности – 14,12; естественная убыль – -4,97; миграционный прирост – 2,35 (в 2018 году – 9,47; 14,09; -4,62 и 2,0 соответственно).</w:t>
      </w:r>
    </w:p>
    <w:p w14:paraId="14BE127E" w14:textId="77777777" w:rsidR="002E400F" w:rsidRDefault="002E400F" w:rsidP="009975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2C02E91" w14:textId="77777777" w:rsidR="002E400F" w:rsidRDefault="002E400F" w:rsidP="009975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21F42FC9" w14:textId="77777777" w:rsidR="002E400F" w:rsidRPr="002E400F" w:rsidRDefault="002E400F" w:rsidP="009975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437E3E9" w14:textId="77777777" w:rsidR="00B37096" w:rsidRDefault="00B37096" w:rsidP="00B3709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736F6">
        <w:rPr>
          <w:rFonts w:ascii="Times New Roman" w:eastAsia="Times New Roman" w:hAnsi="Times New Roman" w:cs="Times New Roman"/>
          <w:noProof/>
          <w:color w:val="E36C0A"/>
          <w:sz w:val="28"/>
          <w:szCs w:val="28"/>
          <w:lang w:eastAsia="ru-RU"/>
        </w:rPr>
        <w:drawing>
          <wp:inline distT="0" distB="0" distL="0" distR="0" wp14:anchorId="131B56C2" wp14:editId="1ADC0EE5">
            <wp:extent cx="6472361" cy="2846567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F2F3899" w14:textId="77777777" w:rsidR="008415CB" w:rsidRPr="002E400F" w:rsidRDefault="008415CB" w:rsidP="009975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</w:p>
    <w:p w14:paraId="11C73B4F" w14:textId="77777777" w:rsidR="002E400F" w:rsidRDefault="002E400F" w:rsidP="009975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</w:p>
    <w:p w14:paraId="233AF5E1" w14:textId="77777777" w:rsidR="002E400F" w:rsidRPr="002E400F" w:rsidRDefault="002E400F" w:rsidP="009975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</w:p>
    <w:p w14:paraId="319B2AB3" w14:textId="77777777" w:rsidR="00997540" w:rsidRPr="002E400F" w:rsidRDefault="00997540" w:rsidP="009975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r w:rsidRPr="002E400F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На улучшение ситуации по демографическим показателям направлены национальные проекты «Демография» и «Здравоохранение».</w:t>
      </w:r>
    </w:p>
    <w:p w14:paraId="28C1E068" w14:textId="5AD83042" w:rsidR="00997540" w:rsidRPr="002E400F" w:rsidRDefault="00997540" w:rsidP="009975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r w:rsidRPr="002E400F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Реализация комплекса мероприятий по стимулированию рождаемости (продление действия государственной программы материнского капитала до конца 2021 года, включая дополнительные механизмы использования материнского капитала, повышение доступности жилья семьям с детьми, предоставление земельных участков за третьего ребенка, ежемесячные денежные выплаты многодетным семьям, поддержка молодых семей при рождении первенцев, повышение качества жизни семей с детьми, медицинская помощь семьям, страдающим бесплодием и пр.) позволяют прогнозировать </w:t>
      </w:r>
      <w:r w:rsidR="002E400F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                              </w:t>
      </w:r>
      <w:r w:rsidRPr="002E400F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в 2020-2022 гг. умеренный рост рождаемости, который в то же время будет сдерживаться изменениями в структуре населения (сокращением числа женщин репродуктивного возраста, тенденцией переноса рождения первого ребенка на более поздний период).</w:t>
      </w:r>
    </w:p>
    <w:p w14:paraId="30CAC548" w14:textId="77777777" w:rsidR="00997540" w:rsidRPr="002E400F" w:rsidRDefault="00997540" w:rsidP="009975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r w:rsidRPr="002E400F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По прогнозу к 2022 году коэффициент рождаемости на 1000 чел. населения незначительно увеличится по сравнению с 2019 годом и составит 9,33%.</w:t>
      </w:r>
    </w:p>
    <w:p w14:paraId="6DFF2A47" w14:textId="77777777" w:rsidR="00B37096" w:rsidRDefault="00B37096" w:rsidP="002E400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91EE7">
        <w:rPr>
          <w:rFonts w:ascii="Times New Roman" w:eastAsia="Calibri" w:hAnsi="Times New Roman" w:cs="Times New Roman"/>
          <w:b/>
          <w:noProof/>
          <w:color w:val="632423" w:themeColor="accent2" w:themeShade="80"/>
          <w:sz w:val="24"/>
          <w:lang w:eastAsia="ru-RU"/>
        </w:rPr>
        <w:lastRenderedPageBreak/>
        <w:drawing>
          <wp:inline distT="0" distB="0" distL="0" distR="0" wp14:anchorId="0734266F" wp14:editId="76B32F7C">
            <wp:extent cx="5947575" cy="3339548"/>
            <wp:effectExtent l="0" t="0" r="0" b="0"/>
            <wp:docPr id="6" name="Объект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F749751" w14:textId="77777777" w:rsidR="0082386E" w:rsidRDefault="0082386E" w:rsidP="009975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</w:p>
    <w:p w14:paraId="6171A054" w14:textId="77777777" w:rsidR="00975DEE" w:rsidRDefault="00975DEE" w:rsidP="009975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</w:p>
    <w:p w14:paraId="7105DECD" w14:textId="6E35D333" w:rsidR="00997540" w:rsidRDefault="00997540" w:rsidP="009975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r w:rsidRPr="002E400F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Учитывая проводимые мероприятия в сфере здравоохранения, в том числе внедрение в практику современных медицинских технологий, эффективных механизмов профилактики, раннего выявления заболеваний и факторов риска развития хронических заболеваний, принятие мер по улучшению доступности и повышению качества оказания медицинской помощи гражданам, формирование мотивации для ведения здорового образа жизни, ожидается ежегодное снижение числа умерших и увеличение продолжительности жизни граждан. В пересчете на 1000 чел. населения коэффициент смертности </w:t>
      </w:r>
      <w:r w:rsidR="002E400F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                             </w:t>
      </w:r>
      <w:r w:rsidRPr="002E400F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в прогнозный период в 2020-2022 гг. составит 14,11 промилле. </w:t>
      </w:r>
    </w:p>
    <w:p w14:paraId="1946E2B9" w14:textId="77777777" w:rsidR="0082386E" w:rsidRDefault="0082386E" w:rsidP="009975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</w:p>
    <w:p w14:paraId="41C52E52" w14:textId="77777777" w:rsidR="0082386E" w:rsidRPr="002E400F" w:rsidRDefault="0082386E" w:rsidP="009975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</w:p>
    <w:p w14:paraId="094145CD" w14:textId="77777777" w:rsidR="00B37096" w:rsidRDefault="00B37096" w:rsidP="002E400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91EE7">
        <w:rPr>
          <w:rFonts w:ascii="Times New Roman" w:eastAsia="Calibri" w:hAnsi="Times New Roman" w:cs="Times New Roman"/>
          <w:noProof/>
          <w:color w:val="632423" w:themeColor="accent2" w:themeShade="80"/>
          <w:sz w:val="24"/>
          <w:lang w:eastAsia="ru-RU"/>
        </w:rPr>
        <w:drawing>
          <wp:inline distT="0" distB="0" distL="0" distR="0" wp14:anchorId="5331ACF8" wp14:editId="7597C6C1">
            <wp:extent cx="5943600" cy="2889849"/>
            <wp:effectExtent l="0" t="0" r="0" b="6350"/>
            <wp:docPr id="7" name="Объект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F209992" w14:textId="77777777" w:rsidR="00975DEE" w:rsidRPr="0082386E" w:rsidRDefault="00975DEE" w:rsidP="009975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</w:p>
    <w:p w14:paraId="5DD227E0" w14:textId="012163E6" w:rsidR="00997540" w:rsidRPr="002E400F" w:rsidRDefault="00997540" w:rsidP="009975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r w:rsidRPr="002E400F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В прогнозном периоде 2020-2022 гг. за счет небольшого роста рождаемости </w:t>
      </w:r>
      <w:r w:rsidR="002E400F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                  </w:t>
      </w:r>
      <w:r w:rsidRPr="002E400F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и снижения смертности ожидается замедление темпов естественной убыли населения. </w:t>
      </w:r>
    </w:p>
    <w:p w14:paraId="6250A38D" w14:textId="623C5A70" w:rsidR="00997540" w:rsidRPr="002E400F" w:rsidRDefault="00997540" w:rsidP="009975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r w:rsidRPr="002E400F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К 2022 году коэффициент естественной убыли прогнозируется на уровне </w:t>
      </w:r>
      <w:r w:rsidR="002E400F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                         </w:t>
      </w:r>
      <w:r w:rsidRPr="002E400F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-4,78 промилле на 1000 чел. населения. Несмотря на то, что коэффициент естественного </w:t>
      </w:r>
      <w:r w:rsidRPr="002E400F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lastRenderedPageBreak/>
        <w:t xml:space="preserve">прироста сохранится отрицательным, в ближайшей перспективе прогнозируется положительная тенденция его снижения. Ожидается, что миграционный прирост частично компенсирует естественную убыль населения и будет способствовать сокращению темпов снижения среднегодовой численности населения, которая к 2022 году составит </w:t>
      </w:r>
      <w:r w:rsidR="002E400F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                    </w:t>
      </w:r>
      <w:r w:rsidRPr="002E400F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401,80 тыс. чел. </w:t>
      </w:r>
    </w:p>
    <w:p w14:paraId="4A9F36A2" w14:textId="77777777" w:rsidR="004C64EA" w:rsidRDefault="004C64EA" w:rsidP="009975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</w:p>
    <w:p w14:paraId="457C759E" w14:textId="77777777" w:rsidR="0082386E" w:rsidRPr="002E400F" w:rsidRDefault="0082386E" w:rsidP="009975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</w:p>
    <w:p w14:paraId="58FFB998" w14:textId="77777777" w:rsidR="00B37096" w:rsidRDefault="00B37096" w:rsidP="002E400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91EE7">
        <w:rPr>
          <w:rFonts w:ascii="Times New Roman" w:eastAsia="Calibri" w:hAnsi="Times New Roman" w:cs="Times New Roman"/>
          <w:b/>
          <w:noProof/>
          <w:sz w:val="24"/>
          <w:lang w:eastAsia="ru-RU"/>
        </w:rPr>
        <w:drawing>
          <wp:inline distT="0" distB="0" distL="0" distR="0" wp14:anchorId="3C22B5FA" wp14:editId="37F93CC6">
            <wp:extent cx="5947575" cy="3077155"/>
            <wp:effectExtent l="0" t="0" r="0" b="0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8A10D00" w14:textId="77777777" w:rsidR="0082386E" w:rsidRDefault="0082386E" w:rsidP="009975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76C4D247" w14:textId="7639EE32" w:rsidR="00FB4028" w:rsidRPr="002E400F" w:rsidRDefault="00997540" w:rsidP="009975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E40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Необходимо отметить, что в 2020 году планируется проведение Всероссийской переписи населения, в 2021 году будут известны ее предварительные итоги, в связи с чем демографический прогноз будет скорректирован с учетом полученных результатов переписи.</w:t>
      </w:r>
    </w:p>
    <w:p w14:paraId="35AAD854" w14:textId="77777777" w:rsidR="002E400F" w:rsidRDefault="002E400F" w:rsidP="009975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52B90637" w14:textId="77777777" w:rsidR="0082386E" w:rsidRPr="002E400F" w:rsidRDefault="0082386E" w:rsidP="009975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2253644C" w14:textId="77777777" w:rsidR="0082386E" w:rsidRDefault="002E400F" w:rsidP="0082386E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2386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2. </w:t>
      </w:r>
      <w:r w:rsidR="00693729" w:rsidRPr="0082386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Производство товаров и услуг по чистым видам экономической деятельности </w:t>
      </w:r>
    </w:p>
    <w:p w14:paraId="32BEFF1C" w14:textId="743B8322" w:rsidR="00693729" w:rsidRPr="0082386E" w:rsidRDefault="00693729" w:rsidP="0082386E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2386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 организациям, не относящимся к субъектам малого предпринимательства</w:t>
      </w:r>
    </w:p>
    <w:p w14:paraId="644DB54E" w14:textId="77777777" w:rsidR="0069032A" w:rsidRDefault="0069032A" w:rsidP="006903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CFD290A" w14:textId="77777777" w:rsidR="0082386E" w:rsidRPr="0082386E" w:rsidRDefault="0082386E" w:rsidP="006903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4314CE7" w14:textId="74D4F3FC" w:rsidR="00A573CA" w:rsidRPr="0082386E" w:rsidRDefault="00A573CA" w:rsidP="00A57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данным </w:t>
      </w:r>
      <w:r w:rsidR="00C21826"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>Ивановостат</w:t>
      </w: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отгрузка товаров собственного производства, выполнение работ и услуг собственными силами по организациям, не относящимся к субъектам малого предпринимательства, в целом по городу Иванову за 2018 год составила </w:t>
      </w:r>
      <w:r w:rsid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</w:t>
      </w: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>78,2 млрд руб. (увеличение на 4,5% по сравнению с 2017 годом в ценах соответствующих лет), за январь-август 2019 г</w:t>
      </w:r>
      <w:r w:rsidR="00C21826"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>ода – 54,8 млрд руб., или 109,9</w:t>
      </w: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>% к аналогичному периоду 2018 года. Данный показатель включает отгрузку в промышленном производстве, строительстве, транспортировке и хранении, деятельности в области информации и связи, финансовой и страховой деятельности и т.д.</w:t>
      </w:r>
    </w:p>
    <w:p w14:paraId="425FEC0C" w14:textId="77777777" w:rsidR="00A573CA" w:rsidRPr="0082386E" w:rsidRDefault="00A573CA" w:rsidP="00A57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>В структуре отгруженных товаров, работ и услуг в 2018 году преобладало промышленное производство (69,8%), на долю других отраслей пришлось 30,2% (транспорт и связь, строительство, оптовая и розничная торговля и пр.).</w:t>
      </w:r>
    </w:p>
    <w:p w14:paraId="74EF4FB0" w14:textId="77777777" w:rsidR="00A573CA" w:rsidRPr="0082386E" w:rsidRDefault="00A573CA" w:rsidP="00A57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Промышленность областного центра представлена тремя видами производства: </w:t>
      </w:r>
    </w:p>
    <w:p w14:paraId="1BD11025" w14:textId="77777777" w:rsidR="00A573CA" w:rsidRPr="0082386E" w:rsidRDefault="00A573CA" w:rsidP="00A57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>- обрабатывающие производства;</w:t>
      </w:r>
    </w:p>
    <w:p w14:paraId="3E652300" w14:textId="77777777" w:rsidR="00A573CA" w:rsidRPr="0082386E" w:rsidRDefault="00A573CA" w:rsidP="00A57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>- обеспечение электрической энергией, газом и паром; кондиционирование воздуха;</w:t>
      </w:r>
    </w:p>
    <w:p w14:paraId="3581707D" w14:textId="00B054D4" w:rsidR="0082386E" w:rsidRPr="00975DEE" w:rsidRDefault="00A573CA" w:rsidP="00975D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водоснабжение; водоотведение, организация сбора и утилизация отходов, деятельность по ликвидации загрязнений. </w:t>
      </w:r>
    </w:p>
    <w:p w14:paraId="05178073" w14:textId="48625301" w:rsidR="00A573CA" w:rsidRPr="0082386E" w:rsidRDefault="00A573CA" w:rsidP="00823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Структура промышленного производства</w:t>
      </w:r>
      <w:r w:rsidR="0082386E" w:rsidRPr="00823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3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2018 году</w:t>
      </w:r>
    </w:p>
    <w:p w14:paraId="71A7637D" w14:textId="77777777" w:rsidR="00A573CA" w:rsidRPr="00176E61" w:rsidRDefault="00A573CA" w:rsidP="00823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BE0B99" wp14:editId="53CFDE19">
            <wp:extent cx="6106602" cy="2075291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DA09697" w14:textId="2137E8D4" w:rsidR="00A573CA" w:rsidRPr="0082386E" w:rsidRDefault="00A573CA" w:rsidP="00A57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>Индекс промышленного производ</w:t>
      </w:r>
      <w:r w:rsid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ства (далее – ИПП) в 2018 году </w:t>
      </w: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городскому округу составил 94,5% к уровню 2017 года. В 2019 году данный показатель ожидается </w:t>
      </w:r>
      <w:r w:rsid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</w:t>
      </w: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>в размере 102,0%. В прогнозируемом периоде темпы роста промышленности будут иметь положительную д</w:t>
      </w:r>
      <w:r w:rsid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инамику: в 2020 году – 101,6%; </w:t>
      </w: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>в 2021 году – 102,1% и в 2022 году – 102,2%.</w:t>
      </w:r>
    </w:p>
    <w:p w14:paraId="54BDF326" w14:textId="78EBCAAE" w:rsidR="00A573CA" w:rsidRPr="0082386E" w:rsidRDefault="00A573CA" w:rsidP="00A57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ИПП в сравнении с прогнозом на 2019-2021гг. скорректирован в сторону увеличения (на 1,1 п.п. – в 2019 году, на 0,6 п.п. – в 2020 году и на 0,4 п.п. – в 2021 году). Указанные коррективы связаны с уточнением фактических данных Ивановостат </w:t>
      </w:r>
      <w:r w:rsid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</w:t>
      </w: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отгрузке продукции (в целом по городу и в разрезе по некоторым отраслям производства) за 2018 год и истекший период 2019 года, а также изменением показателей инфляции (индексов-дефляторов, разработанных Минэкономразвития Российской Федерации) в соответствующих сферах. </w:t>
      </w:r>
    </w:p>
    <w:p w14:paraId="1625DFE9" w14:textId="08CB61DC" w:rsidR="00A573CA" w:rsidRPr="0082386E" w:rsidRDefault="00A573CA" w:rsidP="00A57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Снижение ИПП в 2018 году в значительной степени связано с высоким индексом-дефлятором, который составил 111,0% к уровню предыдущего года (для сравнения, </w:t>
      </w:r>
      <w:r w:rsid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</w:t>
      </w: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>в 2019 году индекс-дефлятор – 103,4%).</w:t>
      </w:r>
    </w:p>
    <w:p w14:paraId="460B9EB9" w14:textId="12FE3FA7" w:rsidR="00A573CA" w:rsidRPr="0082386E" w:rsidRDefault="00A573CA" w:rsidP="00A57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>В обрабатывающих производствах объем отгруженных товаров в 2018 году составил 34,8 млрд руб., что на 4,5</w:t>
      </w:r>
      <w:r w:rsid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% ниже уровня предыдущего года </w:t>
      </w: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>(в сопоставимых ценах). В прогнозном периоде динамика данного показателя сложится следующим образом: в 2019 году 37,8 млрд руб. (индекс производства (далее – ИП) к предыдущему году – 105,4%)</w:t>
      </w:r>
      <w:r w:rsid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в 2020 году – 40,1 млрд руб. </w:t>
      </w: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>(ИП – 102,5%), в 2021 году – 42,4 млрд руб.</w:t>
      </w:r>
      <w:r w:rsid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(ИП – 102,6%) и в 2022 году – </w:t>
      </w: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>45,3 млрд руб. (ИП – 102,6%).</w:t>
      </w:r>
    </w:p>
    <w:p w14:paraId="46D4F812" w14:textId="0E564D92" w:rsidR="00A573CA" w:rsidRPr="0082386E" w:rsidRDefault="00A573CA" w:rsidP="00A57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сравнении с прогнозом на 2019-2021гг. оценочный и прогнозные </w:t>
      </w:r>
      <w:r w:rsid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ИП                       </w:t>
      </w:r>
      <w:r w:rsidR="00EC54CC"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</w:t>
      </w: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>показател</w:t>
      </w:r>
      <w:r w:rsidR="00EC54CC"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>ю</w:t>
      </w: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объема отгруженной продукции обрабатывающих производств скорректированы в сторону увеличения: в 2019 г</w:t>
      </w:r>
      <w:r w:rsid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оду на 4,4 п.п., в 2020 году – </w:t>
      </w: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1,4 п.п. </w:t>
      </w:r>
      <w:r w:rsid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>и в 2021 году – на 0,5 п.п.</w:t>
      </w:r>
    </w:p>
    <w:p w14:paraId="733DB4B6" w14:textId="1FEA989B" w:rsidR="00A573CA" w:rsidRPr="0082386E" w:rsidRDefault="00A573CA" w:rsidP="00A57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Объем отгруженной продукции в </w:t>
      </w:r>
      <w:r w:rsidRPr="0082386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сфере обеспечения электрической энергией, газом и паром, кондиционирования воздуха</w:t>
      </w:r>
      <w:r w:rsid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2018 году составил </w:t>
      </w: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18,1 млрд руб., </w:t>
      </w:r>
      <w:r w:rsid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</w:t>
      </w: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>или 93,3% к 2017 году в сопоставимых ценах, в том числе:</w:t>
      </w:r>
    </w:p>
    <w:p w14:paraId="214A92B8" w14:textId="77777777" w:rsidR="00A573CA" w:rsidRPr="0082386E" w:rsidRDefault="00A573CA" w:rsidP="00A57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производство, передача и распределение электроэнергии – 8,9 млрд руб.;</w:t>
      </w:r>
    </w:p>
    <w:p w14:paraId="44EB6633" w14:textId="77777777" w:rsidR="00A573CA" w:rsidRPr="0082386E" w:rsidRDefault="00A573CA" w:rsidP="00A57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производство, передача и распределение пара и горячей воды; кондиционирование воздуха – 8,8 млрд руб.</w:t>
      </w:r>
    </w:p>
    <w:p w14:paraId="15BC85B3" w14:textId="05BAEF7A" w:rsidR="00A573CA" w:rsidRPr="0082386E" w:rsidRDefault="00A573CA" w:rsidP="00A57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>Оценочно в 2019 году ИП по данному ви</w:t>
      </w:r>
      <w:r w:rsid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ду деятельности составит 96,8% </w:t>
      </w: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>к уровню</w:t>
      </w:r>
      <w:r w:rsidR="00076C49"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предыдущего года, в 2020 году –</w:t>
      </w: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99,9%, в 2021-2022 гг. – по 101,2% ежегодно. </w:t>
      </w:r>
      <w:r w:rsid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</w:t>
      </w: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>В сравнении с прогнозом на 2019-2</w:t>
      </w:r>
      <w:r w:rsid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021гг. ИП претерпел изменения: </w:t>
      </w: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2019 году в сторону снижения на 4,1 п.п., в 2020 году – на 1,1 п.п., в 2021 году – в сторону увеличения </w:t>
      </w:r>
      <w:r w:rsid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</w:t>
      </w: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0,2 п.п. </w:t>
      </w:r>
    </w:p>
    <w:p w14:paraId="7C61EF54" w14:textId="0433177B" w:rsidR="00A573CA" w:rsidRPr="0082386E" w:rsidRDefault="00A573CA" w:rsidP="00A57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Отгрузка продукции в сфере </w:t>
      </w:r>
      <w:r w:rsidRPr="0082386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водоснабжения, водоотведения, организации сбора </w:t>
      </w:r>
      <w:r w:rsidR="0082386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           </w:t>
      </w:r>
      <w:r w:rsidRPr="0082386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и утилизации отходов, ликвидации загрязнений</w:t>
      </w: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составила в 2018 году 1,6 млрд руб., ИП – 87,8% к прошлому году. В прогнозном периоде ИП сл</w:t>
      </w:r>
      <w:r w:rsid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>ожится следующим образом: 88,4% </w:t>
      </w: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в 2019 году, 99,8% – в 2020 году, 101,1% – в 2021 году и 101,5% – в 2022 году. </w:t>
      </w:r>
      <w:r w:rsid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В сравнении с прогнозом на 2019-2021гг.</w:t>
      </w:r>
      <w:r w:rsid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ИП скорректирован в сторону снижения </w:t>
      </w:r>
      <w:r w:rsid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</w:t>
      </w: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>в 2019-2021</w:t>
      </w:r>
      <w:r w:rsid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гг. на 11,6 п.п., на 0,8 п.п. </w:t>
      </w: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>и на 0,2 п.п. соответственно.</w:t>
      </w:r>
    </w:p>
    <w:p w14:paraId="54275869" w14:textId="77777777" w:rsidR="00A573CA" w:rsidRPr="0082386E" w:rsidRDefault="00A573CA" w:rsidP="006903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4778765" w14:textId="77777777" w:rsidR="00693729" w:rsidRPr="0082386E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2386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 Строительство</w:t>
      </w:r>
    </w:p>
    <w:p w14:paraId="7891D999" w14:textId="77777777" w:rsidR="00B54C48" w:rsidRPr="0082386E" w:rsidRDefault="00B54C48" w:rsidP="00B54C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0E55AD5C" w14:textId="37188122" w:rsidR="00F02B26" w:rsidRPr="0082386E" w:rsidRDefault="00B54C48" w:rsidP="008238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82386E">
        <w:rPr>
          <w:rFonts w:ascii="Times New Roman" w:eastAsia="Calibri" w:hAnsi="Times New Roman" w:cs="Times New Roman"/>
          <w:b/>
          <w:i/>
          <w:sz w:val="24"/>
          <w:szCs w:val="28"/>
        </w:rPr>
        <w:t>3.1. Объем выполненных работ по вид</w:t>
      </w:r>
      <w:r w:rsidR="0082386E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у деятельности «Строительство»                  </w:t>
      </w:r>
      <w:r w:rsidRPr="0082386E">
        <w:rPr>
          <w:rFonts w:ascii="Times New Roman" w:eastAsia="Calibri" w:hAnsi="Times New Roman" w:cs="Times New Roman"/>
          <w:b/>
          <w:i/>
          <w:sz w:val="24"/>
          <w:szCs w:val="28"/>
        </w:rPr>
        <w:t>(по организациям, не относящимся к субъектам малого предпринимательства)</w:t>
      </w:r>
    </w:p>
    <w:p w14:paraId="01E8CB87" w14:textId="77777777" w:rsidR="00DE7866" w:rsidRPr="0082386E" w:rsidRDefault="00DE7866" w:rsidP="0082386E">
      <w:pPr>
        <w:tabs>
          <w:tab w:val="left" w:pos="0"/>
          <w:tab w:val="center" w:pos="4677"/>
          <w:tab w:val="left" w:pos="602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07E84FC2" w14:textId="421EB8B6" w:rsidR="00734BF2" w:rsidRPr="0082386E" w:rsidRDefault="00734BF2" w:rsidP="0082386E">
      <w:pPr>
        <w:tabs>
          <w:tab w:val="left" w:pos="0"/>
          <w:tab w:val="center" w:pos="4677"/>
          <w:tab w:val="left" w:pos="602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2386E">
        <w:rPr>
          <w:rFonts w:ascii="Times New Roman" w:eastAsia="Calibri" w:hAnsi="Times New Roman" w:cs="Times New Roman"/>
          <w:sz w:val="24"/>
          <w:szCs w:val="28"/>
        </w:rPr>
        <w:t xml:space="preserve">По данным Ивановостат объем выполненных работ по виду деятельности «Строительство» (по организациям, не относящимся к субъектам малого предпринимательства) за 2018 год сложился в размере 529,1 млн руб., что на 72,3% ниже уровня 2017 года в сопоставимых ценах. Значительное снижение показателя (более 70%) обусловлено банкротством двух крупных строительных организаций – </w:t>
      </w:r>
      <w:r w:rsidR="0082386E">
        <w:rPr>
          <w:rFonts w:ascii="Times New Roman" w:eastAsia="Calibri" w:hAnsi="Times New Roman" w:cs="Times New Roman"/>
          <w:sz w:val="24"/>
          <w:szCs w:val="28"/>
        </w:rPr>
        <w:t xml:space="preserve">                               </w:t>
      </w:r>
      <w:r w:rsidRPr="0082386E">
        <w:rPr>
          <w:rFonts w:ascii="Times New Roman" w:eastAsia="Calibri" w:hAnsi="Times New Roman" w:cs="Times New Roman"/>
          <w:sz w:val="24"/>
          <w:szCs w:val="28"/>
        </w:rPr>
        <w:t>АО «Стройиндустрия-Холдинг» и ОАО «Ивановская домостроительная компания».</w:t>
      </w:r>
    </w:p>
    <w:p w14:paraId="764874D4" w14:textId="2FA10346" w:rsidR="00734BF2" w:rsidRPr="0082386E" w:rsidRDefault="00734BF2" w:rsidP="0082386E">
      <w:pPr>
        <w:tabs>
          <w:tab w:val="left" w:pos="0"/>
          <w:tab w:val="center" w:pos="4677"/>
          <w:tab w:val="left" w:pos="602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2386E">
        <w:rPr>
          <w:rFonts w:ascii="Times New Roman" w:eastAsia="Calibri" w:hAnsi="Times New Roman" w:cs="Times New Roman"/>
          <w:sz w:val="24"/>
          <w:szCs w:val="28"/>
        </w:rPr>
        <w:t xml:space="preserve">В первом полугодии 2019 года динамика показателя улучшилась (в среднем темп роста составляет 200-300% ежемесячно в сравнении с 2018 годом), однако значения </w:t>
      </w:r>
      <w:r w:rsidR="0082386E">
        <w:rPr>
          <w:rFonts w:ascii="Times New Roman" w:eastAsia="Calibri" w:hAnsi="Times New Roman" w:cs="Times New Roman"/>
          <w:sz w:val="24"/>
          <w:szCs w:val="28"/>
        </w:rPr>
        <w:t xml:space="preserve">               </w:t>
      </w:r>
      <w:r w:rsidRPr="0082386E">
        <w:rPr>
          <w:rFonts w:ascii="Times New Roman" w:eastAsia="Calibri" w:hAnsi="Times New Roman" w:cs="Times New Roman"/>
          <w:sz w:val="24"/>
          <w:szCs w:val="28"/>
        </w:rPr>
        <w:t>не достигают уровня 2017 года.</w:t>
      </w:r>
    </w:p>
    <w:p w14:paraId="54B6E16D" w14:textId="669A92BA" w:rsidR="00734BF2" w:rsidRPr="0082386E" w:rsidRDefault="00734BF2" w:rsidP="0082386E">
      <w:pPr>
        <w:tabs>
          <w:tab w:val="left" w:pos="0"/>
          <w:tab w:val="center" w:pos="4677"/>
          <w:tab w:val="left" w:pos="602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2386E">
        <w:rPr>
          <w:rFonts w:ascii="Times New Roman" w:eastAsia="Calibri" w:hAnsi="Times New Roman" w:cs="Times New Roman"/>
          <w:sz w:val="24"/>
          <w:szCs w:val="28"/>
        </w:rPr>
        <w:t xml:space="preserve">Следует отметить, что объем работ и услуг собственными силами предприятий </w:t>
      </w:r>
      <w:r w:rsidR="0082386E">
        <w:rPr>
          <w:rFonts w:ascii="Times New Roman" w:eastAsia="Calibri" w:hAnsi="Times New Roman" w:cs="Times New Roman"/>
          <w:sz w:val="24"/>
          <w:szCs w:val="28"/>
        </w:rPr>
        <w:t xml:space="preserve">             </w:t>
      </w:r>
      <w:r w:rsidRPr="0082386E">
        <w:rPr>
          <w:rFonts w:ascii="Times New Roman" w:eastAsia="Calibri" w:hAnsi="Times New Roman" w:cs="Times New Roman"/>
          <w:sz w:val="24"/>
          <w:szCs w:val="28"/>
        </w:rPr>
        <w:t xml:space="preserve">и организаций, выполняемый в областном центре, составляет более 32% строительства </w:t>
      </w:r>
      <w:r w:rsidR="0082386E">
        <w:rPr>
          <w:rFonts w:ascii="Times New Roman" w:eastAsia="Calibri" w:hAnsi="Times New Roman" w:cs="Times New Roman"/>
          <w:sz w:val="24"/>
          <w:szCs w:val="28"/>
        </w:rPr>
        <w:t xml:space="preserve">            </w:t>
      </w:r>
      <w:r w:rsidRPr="0082386E">
        <w:rPr>
          <w:rFonts w:ascii="Times New Roman" w:eastAsia="Calibri" w:hAnsi="Times New Roman" w:cs="Times New Roman"/>
          <w:sz w:val="24"/>
          <w:szCs w:val="28"/>
        </w:rPr>
        <w:t>в Ивановской области.</w:t>
      </w:r>
    </w:p>
    <w:p w14:paraId="06F2E88B" w14:textId="6C681EE4" w:rsidR="00734BF2" w:rsidRPr="0082386E" w:rsidRDefault="00734BF2" w:rsidP="0082386E">
      <w:pPr>
        <w:tabs>
          <w:tab w:val="left" w:pos="0"/>
          <w:tab w:val="center" w:pos="4677"/>
          <w:tab w:val="left" w:pos="602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2386E">
        <w:rPr>
          <w:rFonts w:ascii="Times New Roman" w:eastAsia="Calibri" w:hAnsi="Times New Roman" w:cs="Times New Roman"/>
          <w:sz w:val="24"/>
          <w:szCs w:val="28"/>
        </w:rPr>
        <w:t xml:space="preserve">Вместе с тем, принимая во внимание сокращение штатной численности строительных организаций и переходом их в категории «малые» и «микро», рост цен производителей черных металлов, готовых металлических изделий, неметаллической минеральной продукции, электроэнергии, газа и водоснабжения, ожидается, что </w:t>
      </w:r>
      <w:r w:rsidR="0082386E">
        <w:rPr>
          <w:rFonts w:ascii="Times New Roman" w:eastAsia="Calibri" w:hAnsi="Times New Roman" w:cs="Times New Roman"/>
          <w:sz w:val="24"/>
          <w:szCs w:val="28"/>
        </w:rPr>
        <w:t xml:space="preserve">                       </w:t>
      </w:r>
      <w:r w:rsidRPr="0082386E">
        <w:rPr>
          <w:rFonts w:ascii="Times New Roman" w:eastAsia="Calibri" w:hAnsi="Times New Roman" w:cs="Times New Roman"/>
          <w:sz w:val="24"/>
          <w:szCs w:val="28"/>
        </w:rPr>
        <w:t xml:space="preserve">в среднесрочной перспективе по городу Иванову показатель не достигнет уровня </w:t>
      </w:r>
      <w:r w:rsidR="0082386E">
        <w:rPr>
          <w:rFonts w:ascii="Times New Roman" w:eastAsia="Calibri" w:hAnsi="Times New Roman" w:cs="Times New Roman"/>
          <w:sz w:val="24"/>
          <w:szCs w:val="28"/>
        </w:rPr>
        <w:t xml:space="preserve">                </w:t>
      </w:r>
      <w:r w:rsidRPr="0082386E">
        <w:rPr>
          <w:rFonts w:ascii="Times New Roman" w:eastAsia="Calibri" w:hAnsi="Times New Roman" w:cs="Times New Roman"/>
          <w:sz w:val="24"/>
          <w:szCs w:val="28"/>
        </w:rPr>
        <w:t>2015-2017 гг.</w:t>
      </w:r>
    </w:p>
    <w:p w14:paraId="2FCFDD16" w14:textId="7175F8FA" w:rsidR="00734BF2" w:rsidRPr="0082386E" w:rsidRDefault="00734BF2" w:rsidP="0082386E">
      <w:pPr>
        <w:tabs>
          <w:tab w:val="left" w:pos="0"/>
          <w:tab w:val="center" w:pos="4677"/>
          <w:tab w:val="left" w:pos="602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2386E">
        <w:rPr>
          <w:rFonts w:ascii="Times New Roman" w:eastAsia="Calibri" w:hAnsi="Times New Roman" w:cs="Times New Roman"/>
          <w:sz w:val="24"/>
          <w:szCs w:val="28"/>
        </w:rPr>
        <w:t xml:space="preserve">С учетом тенденции, сложившейся в 1 полугодии 2019 года, в сравнении </w:t>
      </w:r>
      <w:r w:rsidR="0082386E">
        <w:rPr>
          <w:rFonts w:ascii="Times New Roman" w:eastAsia="Calibri" w:hAnsi="Times New Roman" w:cs="Times New Roman"/>
          <w:sz w:val="24"/>
          <w:szCs w:val="28"/>
        </w:rPr>
        <w:t xml:space="preserve">                        </w:t>
      </w:r>
      <w:r w:rsidRPr="0082386E">
        <w:rPr>
          <w:rFonts w:ascii="Times New Roman" w:eastAsia="Calibri" w:hAnsi="Times New Roman" w:cs="Times New Roman"/>
          <w:sz w:val="24"/>
          <w:szCs w:val="28"/>
        </w:rPr>
        <w:t xml:space="preserve">с прогнозом </w:t>
      </w:r>
      <w:r w:rsidR="00C21826" w:rsidRPr="0082386E">
        <w:rPr>
          <w:rFonts w:ascii="Times New Roman" w:eastAsia="Calibri" w:hAnsi="Times New Roman" w:cs="Times New Roman"/>
          <w:sz w:val="24"/>
          <w:szCs w:val="28"/>
        </w:rPr>
        <w:t>на 2019-</w:t>
      </w:r>
      <w:r w:rsidRPr="0082386E">
        <w:rPr>
          <w:rFonts w:ascii="Times New Roman" w:eastAsia="Calibri" w:hAnsi="Times New Roman" w:cs="Times New Roman"/>
          <w:sz w:val="24"/>
          <w:szCs w:val="28"/>
        </w:rPr>
        <w:t>2021 гг. скорректированы в сторону увеличения индекса физического объема: в 2019 году – на 132,1 п.п., в 2020 году – на 6,8 п.п., в 2021 году – на 4,9 п.п.</w:t>
      </w:r>
    </w:p>
    <w:p w14:paraId="54615E7F" w14:textId="55DD7B17" w:rsidR="00A16274" w:rsidRPr="0082386E" w:rsidRDefault="00734BF2" w:rsidP="008238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82386E">
        <w:rPr>
          <w:rFonts w:ascii="Times New Roman" w:eastAsia="Calibri" w:hAnsi="Times New Roman" w:cs="Times New Roman"/>
          <w:sz w:val="24"/>
          <w:szCs w:val="28"/>
        </w:rPr>
        <w:t>Таким образом, в среднесрочной перспективе индекс физического объема работ, выполненных по виду деятельности «Строительство», составит: в 2020 г</w:t>
      </w:r>
      <w:r w:rsidR="00C21826" w:rsidRPr="0082386E">
        <w:rPr>
          <w:rFonts w:ascii="Times New Roman" w:eastAsia="Calibri" w:hAnsi="Times New Roman" w:cs="Times New Roman"/>
          <w:sz w:val="24"/>
          <w:szCs w:val="28"/>
        </w:rPr>
        <w:t xml:space="preserve">оду – 106,9%, </w:t>
      </w:r>
      <w:r w:rsidR="0082386E">
        <w:rPr>
          <w:rFonts w:ascii="Times New Roman" w:eastAsia="Calibri" w:hAnsi="Times New Roman" w:cs="Times New Roman"/>
          <w:sz w:val="24"/>
          <w:szCs w:val="28"/>
        </w:rPr>
        <w:t xml:space="preserve">             </w:t>
      </w:r>
      <w:r w:rsidR="00C21826" w:rsidRPr="0082386E">
        <w:rPr>
          <w:rFonts w:ascii="Times New Roman" w:eastAsia="Calibri" w:hAnsi="Times New Roman" w:cs="Times New Roman"/>
          <w:sz w:val="24"/>
          <w:szCs w:val="28"/>
        </w:rPr>
        <w:t>в 2021 году – 107,0%, в 2022 году</w:t>
      </w:r>
      <w:r w:rsidRPr="0082386E">
        <w:rPr>
          <w:rFonts w:ascii="Times New Roman" w:eastAsia="Calibri" w:hAnsi="Times New Roman" w:cs="Times New Roman"/>
          <w:sz w:val="24"/>
          <w:szCs w:val="28"/>
        </w:rPr>
        <w:t xml:space="preserve"> – 107,6%.</w:t>
      </w:r>
    </w:p>
    <w:p w14:paraId="36730F3F" w14:textId="77777777" w:rsidR="00F853D4" w:rsidRPr="0082386E" w:rsidRDefault="00F853D4" w:rsidP="008238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14:paraId="771CA6F2" w14:textId="77777777" w:rsidR="00136F4D" w:rsidRPr="0082386E" w:rsidRDefault="0079644E" w:rsidP="008238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82386E">
        <w:rPr>
          <w:rFonts w:ascii="Times New Roman" w:eastAsia="Calibri" w:hAnsi="Times New Roman" w:cs="Times New Roman"/>
          <w:b/>
          <w:i/>
          <w:sz w:val="24"/>
          <w:szCs w:val="28"/>
        </w:rPr>
        <w:t>3.2. Ввод в эксплуатацию жилых домов за счет</w:t>
      </w:r>
      <w:r w:rsidR="00C90327" w:rsidRPr="0082386E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всех источников финансирования</w:t>
      </w:r>
    </w:p>
    <w:p w14:paraId="2ED02359" w14:textId="77777777" w:rsidR="00DE7866" w:rsidRPr="0082386E" w:rsidRDefault="00DE7866" w:rsidP="008238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14:paraId="213D818F" w14:textId="0D9F79BB" w:rsidR="00734BF2" w:rsidRPr="0082386E" w:rsidRDefault="00734BF2" w:rsidP="00823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2018 году в городе Иванове введены в эксплуатацию 25 многоквартирных жилых домов площадью 199,4 тыс. кв. м (3384 квартиры) и 140 индивидуальных жилых домов площадью 40,1 тыс. кв. м. Значительный рост произошел в индивидуальном жилищном строительстве – показатель достиг своего максимума (более чем в 2 раза по отношению </w:t>
      </w:r>
      <w:r w:rsid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2017 году) за последние 10 лет по количеству введенных домов. </w:t>
      </w:r>
    </w:p>
    <w:p w14:paraId="4FA0174D" w14:textId="3AF417CA" w:rsidR="00734BF2" w:rsidRPr="0082386E" w:rsidRDefault="00734BF2" w:rsidP="00823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 9 месяцев 2019 года построено 16 многоквартирных жилых домов площадью 65,8 тыс. кв. м (1 235 квартир) и 102 индивидуальных жилых дома площадью 19,6 тыс. </w:t>
      </w:r>
      <w:r w:rsid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кв. м. В сравнении с аналогичным периодом 2018 года отмечается значительное снижение показателей жилищного строительства: на 25,5% – в многоквартирном, на 32,4% – </w:t>
      </w:r>
      <w:r w:rsid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</w:t>
      </w: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>в индивидуальном.</w:t>
      </w:r>
    </w:p>
    <w:p w14:paraId="4BAAC255" w14:textId="41417A26" w:rsidR="00734BF2" w:rsidRPr="0082386E" w:rsidRDefault="00734BF2" w:rsidP="00823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Отрицательная динамика обусловлена внесенными поправками в Федеральный закон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– Федеральный закон 214-ФЗ), </w:t>
      </w:r>
      <w:r w:rsid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</w:t>
      </w: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которыми с 01.07.2019 вложения покупателей, участвующих в долевом строительстве, застройщик может получить лишь с эскроу-счета в течение десяти дней после регистрации права собственности на первую квартиру. </w:t>
      </w:r>
    </w:p>
    <w:p w14:paraId="70EE1D27" w14:textId="77777777" w:rsidR="00734BF2" w:rsidRPr="0082386E" w:rsidRDefault="00734BF2" w:rsidP="00823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Также изменения в Федеральный закон 214-ФЗ коснулись ужесточения требований к застройщикам, в связи с чем существенно снизилось количество выдаваемых разрешений на строительство объектов жилищного строительства. </w:t>
      </w:r>
    </w:p>
    <w:p w14:paraId="79E15F0B" w14:textId="07F7CE83" w:rsidR="00734BF2" w:rsidRPr="0082386E" w:rsidRDefault="00734BF2" w:rsidP="00823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сравнении </w:t>
      </w:r>
      <w:r w:rsidR="002A33E4" w:rsidRPr="0082386E">
        <w:rPr>
          <w:rFonts w:ascii="Times New Roman" w:eastAsia="Calibri" w:hAnsi="Times New Roman" w:cs="Times New Roman"/>
          <w:sz w:val="24"/>
          <w:szCs w:val="28"/>
        </w:rPr>
        <w:t xml:space="preserve">с прогнозом на 2019-2021 гг. </w:t>
      </w:r>
      <w:r w:rsidR="0013093C"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плановые</w:t>
      </w: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значения показателей по вводу жилья на территории города Иванова были скорректированы в сторону снижения: </w:t>
      </w:r>
      <w:r w:rsid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</w:t>
      </w: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>в 2020 году – на 26,5%, в 2021 году – на 41,2%.</w:t>
      </w:r>
    </w:p>
    <w:p w14:paraId="56082F31" w14:textId="77777777" w:rsidR="00734BF2" w:rsidRPr="0082386E" w:rsidRDefault="00734BF2" w:rsidP="00823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>Таким образом, в среднесрочной перспективе показатели ввода жилья спрогнозированы со снижением на 20 – 25 %: 2020 г.– 125,0 тыс. кв. м, 2021 г. – 100,0 тыс. кв. м, 2022 г. – 100,0 тыс. кв. м.</w:t>
      </w:r>
    </w:p>
    <w:p w14:paraId="130750EE" w14:textId="77777777" w:rsidR="00F853D4" w:rsidRPr="0082386E" w:rsidRDefault="00F853D4" w:rsidP="008238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14:paraId="1AB8840B" w14:textId="299FD683" w:rsidR="00EB5E08" w:rsidRPr="0082386E" w:rsidRDefault="00B32F28" w:rsidP="008238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82386E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3.3. </w:t>
      </w:r>
      <w:r w:rsidR="00EB5E08" w:rsidRPr="0082386E">
        <w:rPr>
          <w:rFonts w:ascii="Times New Roman" w:eastAsia="Calibri" w:hAnsi="Times New Roman" w:cs="Times New Roman"/>
          <w:b/>
          <w:i/>
          <w:sz w:val="24"/>
          <w:szCs w:val="28"/>
        </w:rPr>
        <w:t>Протяженность автомоб</w:t>
      </w:r>
      <w:r w:rsidRPr="0082386E">
        <w:rPr>
          <w:rFonts w:ascii="Times New Roman" w:eastAsia="Calibri" w:hAnsi="Times New Roman" w:cs="Times New Roman"/>
          <w:b/>
          <w:i/>
          <w:sz w:val="24"/>
          <w:szCs w:val="28"/>
        </w:rPr>
        <w:t>и</w:t>
      </w:r>
      <w:r w:rsidR="0082386E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льных дорог общего пользования </w:t>
      </w:r>
      <w:r w:rsidR="00EB5E08" w:rsidRPr="0082386E">
        <w:rPr>
          <w:rFonts w:ascii="Times New Roman" w:eastAsia="Calibri" w:hAnsi="Times New Roman" w:cs="Times New Roman"/>
          <w:b/>
          <w:i/>
          <w:sz w:val="24"/>
          <w:szCs w:val="28"/>
        </w:rPr>
        <w:t>с твердым покрытием (км)</w:t>
      </w:r>
    </w:p>
    <w:p w14:paraId="33AE5BB6" w14:textId="77777777" w:rsidR="00EB5E08" w:rsidRPr="0082386E" w:rsidRDefault="00EB5E08" w:rsidP="00823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14:paraId="4301140F" w14:textId="72133E5D" w:rsidR="006E0B76" w:rsidRPr="0082386E" w:rsidRDefault="006E0B76" w:rsidP="00823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2386E">
        <w:rPr>
          <w:rFonts w:ascii="Times New Roman" w:hAnsi="Times New Roman" w:cs="Times New Roman"/>
          <w:sz w:val="24"/>
          <w:szCs w:val="28"/>
          <w:lang w:eastAsia="ru-RU"/>
        </w:rPr>
        <w:t>В 2018 году протяженность автомоби</w:t>
      </w:r>
      <w:r w:rsidR="0082386E">
        <w:rPr>
          <w:rFonts w:ascii="Times New Roman" w:hAnsi="Times New Roman" w:cs="Times New Roman"/>
          <w:sz w:val="24"/>
          <w:szCs w:val="28"/>
          <w:lang w:eastAsia="ru-RU"/>
        </w:rPr>
        <w:t xml:space="preserve">льных дорог общего пользования </w:t>
      </w:r>
      <w:r w:rsidRPr="0082386E">
        <w:rPr>
          <w:rFonts w:ascii="Times New Roman" w:hAnsi="Times New Roman" w:cs="Times New Roman"/>
          <w:sz w:val="24"/>
          <w:szCs w:val="28"/>
          <w:lang w:eastAsia="ru-RU"/>
        </w:rPr>
        <w:t>с твердым покрытием в городском округе Иваново составила 707,7 км. Учитывая запланированные мероприятия в 2021-2022 гг., данный показатель увеличится</w:t>
      </w:r>
      <w:r w:rsidR="0082386E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82386E">
        <w:rPr>
          <w:rFonts w:ascii="Times New Roman" w:hAnsi="Times New Roman" w:cs="Times New Roman"/>
          <w:sz w:val="24"/>
          <w:szCs w:val="28"/>
          <w:lang w:eastAsia="ru-RU"/>
        </w:rPr>
        <w:t xml:space="preserve">в прогнозном периоде </w:t>
      </w:r>
      <w:r w:rsidR="0082386E">
        <w:rPr>
          <w:rFonts w:ascii="Times New Roman" w:hAnsi="Times New Roman" w:cs="Times New Roman"/>
          <w:sz w:val="24"/>
          <w:szCs w:val="28"/>
          <w:lang w:eastAsia="ru-RU"/>
        </w:rPr>
        <w:t xml:space="preserve">                  </w:t>
      </w:r>
      <w:r w:rsidRPr="0082386E">
        <w:rPr>
          <w:rFonts w:ascii="Times New Roman" w:hAnsi="Times New Roman" w:cs="Times New Roman"/>
          <w:sz w:val="24"/>
          <w:szCs w:val="28"/>
          <w:lang w:eastAsia="ru-RU"/>
        </w:rPr>
        <w:t>на 3,3 км.</w:t>
      </w:r>
    </w:p>
    <w:p w14:paraId="0B03E0B4" w14:textId="77777777" w:rsidR="00DE7866" w:rsidRDefault="00DE7866" w:rsidP="006E0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14:paraId="35C4832B" w14:textId="77777777" w:rsidR="00E3487E" w:rsidRPr="00E3487E" w:rsidRDefault="00E3487E" w:rsidP="006E0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14:paraId="7E79CD7C" w14:textId="77777777" w:rsidR="006E0B76" w:rsidRPr="003730D2" w:rsidRDefault="006E0B76" w:rsidP="006E0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30D2">
        <w:rPr>
          <w:rFonts w:ascii="Times New Roman" w:hAnsi="Times New Roman" w:cs="Times New Roman"/>
          <w:b/>
          <w:sz w:val="28"/>
          <w:szCs w:val="28"/>
          <w:lang w:eastAsia="ru-RU"/>
        </w:rPr>
        <w:t>Протяженность автомобильных дорог общего пользования</w:t>
      </w:r>
    </w:p>
    <w:p w14:paraId="21CD1598" w14:textId="77777777" w:rsidR="006E0B76" w:rsidRDefault="006E0B76" w:rsidP="006E0B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30D2">
        <w:rPr>
          <w:rFonts w:ascii="Times New Roman" w:hAnsi="Times New Roman" w:cs="Times New Roman"/>
          <w:b/>
          <w:sz w:val="28"/>
          <w:szCs w:val="28"/>
          <w:lang w:eastAsia="ru-RU"/>
        </w:rPr>
        <w:t>с твердым покрытием (км)</w:t>
      </w:r>
    </w:p>
    <w:p w14:paraId="4F36C091" w14:textId="77777777" w:rsidR="00DE7866" w:rsidRPr="003730D2" w:rsidRDefault="00DE7866" w:rsidP="006E0B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3C23252" w14:textId="77777777" w:rsidR="006E0B76" w:rsidRPr="00176E61" w:rsidRDefault="006E0B76" w:rsidP="006E0B76">
      <w:pPr>
        <w:spacing w:line="240" w:lineRule="auto"/>
        <w:jc w:val="center"/>
        <w:rPr>
          <w:rFonts w:ascii="Times New Roman" w:hAnsi="Times New Roman" w:cs="Times New Roman"/>
          <w:sz w:val="24"/>
          <w:highlight w:val="yellow"/>
          <w:lang w:val="en-US" w:eastAsia="ru-RU"/>
        </w:rPr>
      </w:pPr>
      <w:r w:rsidRPr="003730D2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68884609" wp14:editId="4EF3C91F">
            <wp:extent cx="6339385" cy="3179928"/>
            <wp:effectExtent l="0" t="0" r="4445" b="190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EE8E382" w14:textId="77777777" w:rsidR="00E3487E" w:rsidRDefault="00E3487E" w:rsidP="0082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14:paraId="5C116647" w14:textId="77777777" w:rsidR="006E0B76" w:rsidRPr="0082386E" w:rsidRDefault="006E0B76" w:rsidP="0082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2386E">
        <w:rPr>
          <w:rFonts w:ascii="Times New Roman" w:hAnsi="Times New Roman" w:cs="Times New Roman"/>
          <w:sz w:val="24"/>
          <w:szCs w:val="28"/>
          <w:lang w:eastAsia="ru-RU"/>
        </w:rPr>
        <w:t>В прогнозируемом периоде запланировано строительство новых дорог:</w:t>
      </w:r>
    </w:p>
    <w:p w14:paraId="228DA09D" w14:textId="5EE0393F" w:rsidR="006E0B76" w:rsidRPr="0082386E" w:rsidRDefault="006E0B76" w:rsidP="0082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2386E">
        <w:rPr>
          <w:rFonts w:ascii="Times New Roman" w:hAnsi="Times New Roman" w:cs="Times New Roman"/>
          <w:sz w:val="24"/>
          <w:szCs w:val="28"/>
          <w:lang w:eastAsia="ru-RU"/>
        </w:rPr>
        <w:t xml:space="preserve">- в 2021 году: улично-дорожная сеть, расположенная от ул. Павла Большевикова, </w:t>
      </w:r>
      <w:r w:rsidR="0082386E">
        <w:rPr>
          <w:rFonts w:ascii="Times New Roman" w:hAnsi="Times New Roman" w:cs="Times New Roman"/>
          <w:sz w:val="24"/>
          <w:szCs w:val="28"/>
          <w:lang w:eastAsia="ru-RU"/>
        </w:rPr>
        <w:t xml:space="preserve">             </w:t>
      </w:r>
      <w:r w:rsidRPr="0082386E">
        <w:rPr>
          <w:rFonts w:ascii="Times New Roman" w:hAnsi="Times New Roman" w:cs="Times New Roman"/>
          <w:sz w:val="24"/>
          <w:szCs w:val="28"/>
          <w:lang w:eastAsia="ru-RU"/>
        </w:rPr>
        <w:t>в рамках 1 очереди освоения микрорайона «Видный» (1</w:t>
      </w:r>
      <w:r w:rsidR="00DD4C3A" w:rsidRPr="0082386E">
        <w:rPr>
          <w:rFonts w:ascii="Times New Roman" w:hAnsi="Times New Roman" w:cs="Times New Roman"/>
          <w:sz w:val="24"/>
          <w:szCs w:val="28"/>
          <w:lang w:eastAsia="ru-RU"/>
        </w:rPr>
        <w:t> </w:t>
      </w:r>
      <w:r w:rsidRPr="0082386E">
        <w:rPr>
          <w:rFonts w:ascii="Times New Roman" w:hAnsi="Times New Roman" w:cs="Times New Roman"/>
          <w:sz w:val="24"/>
          <w:szCs w:val="28"/>
          <w:lang w:eastAsia="ru-RU"/>
        </w:rPr>
        <w:t xml:space="preserve">123,6 м); </w:t>
      </w:r>
      <w:r w:rsidRPr="0082386E">
        <w:rPr>
          <w:rFonts w:ascii="Times New Roman" w:hAnsi="Times New Roman" w:cs="Times New Roman"/>
          <w:sz w:val="24"/>
          <w:szCs w:val="28"/>
        </w:rPr>
        <w:t xml:space="preserve">строительство </w:t>
      </w:r>
      <w:r w:rsidRPr="0082386E">
        <w:rPr>
          <w:rFonts w:ascii="Times New Roman" w:hAnsi="Times New Roman" w:cs="Times New Roman"/>
          <w:sz w:val="24"/>
          <w:szCs w:val="28"/>
          <w:lang w:eastAsia="ru-RU"/>
        </w:rPr>
        <w:t>автодороги вдоль</w:t>
      </w:r>
      <w:r w:rsidR="0082386E">
        <w:rPr>
          <w:rFonts w:ascii="Times New Roman" w:hAnsi="Times New Roman" w:cs="Times New Roman"/>
          <w:sz w:val="24"/>
          <w:szCs w:val="28"/>
          <w:lang w:eastAsia="ru-RU"/>
        </w:rPr>
        <w:t xml:space="preserve"> ул. Профсоюзной и ул. Наумова </w:t>
      </w:r>
      <w:r w:rsidRPr="0082386E">
        <w:rPr>
          <w:rFonts w:ascii="Times New Roman" w:hAnsi="Times New Roman" w:cs="Times New Roman"/>
          <w:sz w:val="24"/>
          <w:szCs w:val="28"/>
          <w:lang w:eastAsia="ru-RU"/>
        </w:rPr>
        <w:t xml:space="preserve">на отрезке от пр. Шереметевский </w:t>
      </w:r>
      <w:r w:rsidR="0082386E">
        <w:rPr>
          <w:rFonts w:ascii="Times New Roman" w:hAnsi="Times New Roman" w:cs="Times New Roman"/>
          <w:sz w:val="24"/>
          <w:szCs w:val="28"/>
          <w:lang w:eastAsia="ru-RU"/>
        </w:rPr>
        <w:t xml:space="preserve">               </w:t>
      </w:r>
      <w:r w:rsidRPr="0082386E">
        <w:rPr>
          <w:rFonts w:ascii="Times New Roman" w:hAnsi="Times New Roman" w:cs="Times New Roman"/>
          <w:sz w:val="24"/>
          <w:szCs w:val="28"/>
          <w:lang w:eastAsia="ru-RU"/>
        </w:rPr>
        <w:t xml:space="preserve">до нового направления ул. Бубнова (512 м); строительство автомобильной дороги </w:t>
      </w:r>
      <w:r w:rsidR="0082386E">
        <w:rPr>
          <w:rFonts w:ascii="Times New Roman" w:hAnsi="Times New Roman" w:cs="Times New Roman"/>
          <w:sz w:val="24"/>
          <w:szCs w:val="28"/>
          <w:lang w:eastAsia="ru-RU"/>
        </w:rPr>
        <w:t xml:space="preserve">                    </w:t>
      </w:r>
      <w:r w:rsidRPr="0082386E">
        <w:rPr>
          <w:rFonts w:ascii="Times New Roman" w:hAnsi="Times New Roman" w:cs="Times New Roman"/>
          <w:sz w:val="24"/>
          <w:szCs w:val="28"/>
          <w:lang w:eastAsia="ru-RU"/>
        </w:rPr>
        <w:t>в микрорайоне «Видный» в г.</w:t>
      </w:r>
      <w:r w:rsidR="00764A28" w:rsidRPr="0082386E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82386E">
        <w:rPr>
          <w:rFonts w:ascii="Times New Roman" w:hAnsi="Times New Roman" w:cs="Times New Roman"/>
          <w:sz w:val="24"/>
          <w:szCs w:val="28"/>
          <w:lang w:eastAsia="ru-RU"/>
        </w:rPr>
        <w:t>Иваново (1000 м);</w:t>
      </w:r>
    </w:p>
    <w:p w14:paraId="2E577350" w14:textId="61E72D10" w:rsidR="006E0B76" w:rsidRPr="0082386E" w:rsidRDefault="006E0B76" w:rsidP="008238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 w:rsidRPr="0082386E">
        <w:rPr>
          <w:rFonts w:ascii="Times New Roman" w:hAnsi="Times New Roman" w:cs="Times New Roman"/>
          <w:sz w:val="24"/>
          <w:szCs w:val="28"/>
          <w:lang w:eastAsia="ru-RU"/>
        </w:rPr>
        <w:t>- в 2022 году - с</w:t>
      </w:r>
      <w:r w:rsidRPr="0082386E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троительство моста че</w:t>
      </w:r>
      <w:r w:rsidR="0082386E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рез р. Уводь по ул. Набережной </w:t>
      </w:r>
      <w:r w:rsidRPr="0082386E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и автодороги на участке от ул. Профсоюзной</w:t>
      </w:r>
      <w:r w:rsidR="0082386E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 до ул. Рыбинской в г. Иваново </w:t>
      </w:r>
      <w:r w:rsidRPr="0082386E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(658,52 м).</w:t>
      </w:r>
    </w:p>
    <w:p w14:paraId="6BEF9A74" w14:textId="77777777" w:rsidR="006E0B76" w:rsidRPr="0082386E" w:rsidRDefault="006E0B76" w:rsidP="0082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86E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В сравнении с прогнозом</w:t>
      </w:r>
      <w:r w:rsidRPr="0082386E">
        <w:rPr>
          <w:rFonts w:ascii="Times New Roman" w:hAnsi="Times New Roman" w:cs="Times New Roman"/>
          <w:sz w:val="24"/>
          <w:szCs w:val="28"/>
        </w:rPr>
        <w:t xml:space="preserve"> 2019-2021 гг. показатель протяженности автомобильных дорог скорректирован:</w:t>
      </w:r>
    </w:p>
    <w:p w14:paraId="62053E89" w14:textId="5B011262" w:rsidR="006E0B76" w:rsidRPr="0082386E" w:rsidRDefault="006E0B76" w:rsidP="0082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2386E">
        <w:rPr>
          <w:rFonts w:ascii="Times New Roman" w:hAnsi="Times New Roman" w:cs="Times New Roman"/>
          <w:sz w:val="24"/>
          <w:szCs w:val="28"/>
        </w:rPr>
        <w:lastRenderedPageBreak/>
        <w:t>- в 2019 году – в сторону снижения</w:t>
      </w:r>
      <w:r w:rsidR="00CC7009" w:rsidRPr="0082386E">
        <w:rPr>
          <w:rFonts w:ascii="Times New Roman" w:hAnsi="Times New Roman" w:cs="Times New Roman"/>
          <w:sz w:val="24"/>
          <w:szCs w:val="28"/>
        </w:rPr>
        <w:t>.</w:t>
      </w:r>
      <w:r w:rsidRPr="0082386E">
        <w:rPr>
          <w:rFonts w:ascii="Times New Roman" w:hAnsi="Times New Roman" w:cs="Times New Roman"/>
          <w:sz w:val="24"/>
          <w:szCs w:val="28"/>
        </w:rPr>
        <w:t xml:space="preserve"> </w:t>
      </w:r>
      <w:r w:rsidR="00CC7009" w:rsidRPr="0082386E">
        <w:rPr>
          <w:rFonts w:ascii="Times New Roman" w:hAnsi="Times New Roman" w:cs="Times New Roman"/>
          <w:sz w:val="24"/>
          <w:szCs w:val="28"/>
        </w:rPr>
        <w:t>П</w:t>
      </w:r>
      <w:r w:rsidRPr="0082386E">
        <w:rPr>
          <w:rFonts w:ascii="Times New Roman" w:hAnsi="Times New Roman" w:cs="Times New Roman"/>
          <w:sz w:val="24"/>
          <w:szCs w:val="28"/>
        </w:rPr>
        <w:t xml:space="preserve">о уточненным данным управления капитального строительства Администрации города Иванова в показатель строительства новых дорог не вошли объекты по реконструкции </w:t>
      </w:r>
      <w:r w:rsidRPr="0082386E">
        <w:rPr>
          <w:rFonts w:ascii="Times New Roman" w:hAnsi="Times New Roman" w:cs="Times New Roman"/>
          <w:sz w:val="24"/>
          <w:szCs w:val="28"/>
          <w:lang w:eastAsia="ru-RU"/>
        </w:rPr>
        <w:t xml:space="preserve">дороги по ул. 2-й Лагерной на участке от ул. 1-й Санаторной до ул. Весенней (236 м), а также дороги от направления </w:t>
      </w:r>
      <w:r w:rsidR="0082386E">
        <w:rPr>
          <w:rFonts w:ascii="Times New Roman" w:hAnsi="Times New Roman" w:cs="Times New Roman"/>
          <w:sz w:val="24"/>
          <w:szCs w:val="28"/>
          <w:lang w:eastAsia="ru-RU"/>
        </w:rPr>
        <w:t xml:space="preserve">                        </w:t>
      </w:r>
      <w:r w:rsidRPr="0082386E">
        <w:rPr>
          <w:rFonts w:ascii="Times New Roman" w:hAnsi="Times New Roman" w:cs="Times New Roman"/>
          <w:sz w:val="24"/>
          <w:szCs w:val="28"/>
          <w:lang w:eastAsia="ru-RU"/>
        </w:rPr>
        <w:t>ул. М. Жаворонкова до Сосневского проезда (220 м)</w:t>
      </w:r>
      <w:r w:rsidR="00DD4C3A" w:rsidRPr="0082386E">
        <w:rPr>
          <w:rFonts w:ascii="Times New Roman" w:hAnsi="Times New Roman" w:cs="Times New Roman"/>
          <w:sz w:val="24"/>
          <w:szCs w:val="28"/>
          <w:lang w:eastAsia="ru-RU"/>
        </w:rPr>
        <w:t xml:space="preserve"> (так как это реконструкция существующих дорог, а не строительство новых)</w:t>
      </w:r>
      <w:r w:rsidRPr="0082386E">
        <w:rPr>
          <w:rFonts w:ascii="Times New Roman" w:hAnsi="Times New Roman" w:cs="Times New Roman"/>
          <w:sz w:val="24"/>
          <w:szCs w:val="28"/>
          <w:lang w:eastAsia="ru-RU"/>
        </w:rPr>
        <w:t>;</w:t>
      </w:r>
    </w:p>
    <w:p w14:paraId="7E3D0B45" w14:textId="09BA666F" w:rsidR="006E0B76" w:rsidRPr="0082386E" w:rsidRDefault="006E0B76" w:rsidP="0082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2386E">
        <w:rPr>
          <w:rFonts w:ascii="Times New Roman" w:hAnsi="Times New Roman" w:cs="Times New Roman"/>
          <w:sz w:val="24"/>
          <w:szCs w:val="28"/>
          <w:lang w:eastAsia="ru-RU"/>
        </w:rPr>
        <w:t xml:space="preserve">- в 2020 году – в сторону снижения в связи с переносом сроков строительства автодороги вдоль ул. Профсоюзной и ул. Наумова на отрезке от пр. Шереметевский </w:t>
      </w:r>
      <w:r w:rsidR="0082386E">
        <w:rPr>
          <w:rFonts w:ascii="Times New Roman" w:hAnsi="Times New Roman" w:cs="Times New Roman"/>
          <w:sz w:val="24"/>
          <w:szCs w:val="28"/>
          <w:lang w:eastAsia="ru-RU"/>
        </w:rPr>
        <w:t xml:space="preserve">                  </w:t>
      </w:r>
      <w:r w:rsidRPr="0082386E">
        <w:rPr>
          <w:rFonts w:ascii="Times New Roman" w:hAnsi="Times New Roman" w:cs="Times New Roman"/>
          <w:sz w:val="24"/>
          <w:szCs w:val="28"/>
          <w:lang w:eastAsia="ru-RU"/>
        </w:rPr>
        <w:t>до нового направления ул. Б</w:t>
      </w:r>
      <w:r w:rsidR="0082386E">
        <w:rPr>
          <w:rFonts w:ascii="Times New Roman" w:hAnsi="Times New Roman" w:cs="Times New Roman"/>
          <w:sz w:val="24"/>
          <w:szCs w:val="28"/>
          <w:lang w:eastAsia="ru-RU"/>
        </w:rPr>
        <w:t>убнова в г. Иваново на 2021 год;</w:t>
      </w:r>
    </w:p>
    <w:p w14:paraId="06E65FCA" w14:textId="3EDCD2DD" w:rsidR="006E0B76" w:rsidRPr="0082386E" w:rsidRDefault="006E0B76" w:rsidP="0082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2386E">
        <w:rPr>
          <w:rFonts w:ascii="Times New Roman" w:hAnsi="Times New Roman" w:cs="Times New Roman"/>
          <w:sz w:val="24"/>
          <w:szCs w:val="28"/>
          <w:lang w:eastAsia="ru-RU"/>
        </w:rPr>
        <w:t>- в 2021 году –</w:t>
      </w:r>
      <w:r w:rsidR="0082386E">
        <w:rPr>
          <w:rFonts w:ascii="Times New Roman" w:hAnsi="Times New Roman" w:cs="Times New Roman"/>
          <w:sz w:val="24"/>
          <w:szCs w:val="28"/>
          <w:lang w:eastAsia="ru-RU"/>
        </w:rPr>
        <w:t xml:space="preserve"> в сторону увеличения</w:t>
      </w:r>
      <w:r w:rsidRPr="0082386E">
        <w:rPr>
          <w:rFonts w:ascii="Times New Roman" w:hAnsi="Times New Roman" w:cs="Times New Roman"/>
          <w:sz w:val="24"/>
          <w:szCs w:val="28"/>
          <w:lang w:eastAsia="ru-RU"/>
        </w:rPr>
        <w:t xml:space="preserve"> в связи с запланированным строительством автодороги в микрорайоне «Видный» в г. Иваново (1000 м); автодороги </w:t>
      </w:r>
      <w:r w:rsidR="0082386E">
        <w:rPr>
          <w:rFonts w:ascii="Times New Roman" w:hAnsi="Times New Roman" w:cs="Times New Roman"/>
          <w:sz w:val="24"/>
          <w:szCs w:val="28"/>
          <w:lang w:eastAsia="ru-RU"/>
        </w:rPr>
        <w:t xml:space="preserve">                              </w:t>
      </w:r>
      <w:r w:rsidRPr="0082386E">
        <w:rPr>
          <w:rFonts w:ascii="Times New Roman" w:hAnsi="Times New Roman" w:cs="Times New Roman"/>
          <w:sz w:val="24"/>
          <w:szCs w:val="28"/>
          <w:lang w:eastAsia="ru-RU"/>
        </w:rPr>
        <w:t xml:space="preserve">вдоль ул. Профсоюзной и ул. Наумова на отрезке от пр. Шереметевский до нового направления ул. Бубнова в г. Иваново (512 м) и улично-дорожной сети, расположенной </w:t>
      </w:r>
      <w:r w:rsidR="0082386E">
        <w:rPr>
          <w:rFonts w:ascii="Times New Roman" w:hAnsi="Times New Roman" w:cs="Times New Roman"/>
          <w:sz w:val="24"/>
          <w:szCs w:val="28"/>
          <w:lang w:eastAsia="ru-RU"/>
        </w:rPr>
        <w:t xml:space="preserve">         </w:t>
      </w:r>
      <w:r w:rsidRPr="0082386E">
        <w:rPr>
          <w:rFonts w:ascii="Times New Roman" w:hAnsi="Times New Roman" w:cs="Times New Roman"/>
          <w:sz w:val="24"/>
          <w:szCs w:val="28"/>
          <w:lang w:eastAsia="ru-RU"/>
        </w:rPr>
        <w:t xml:space="preserve">от ул. Павла Большевикова, в рамках 1 очереди освоения микрорайона «Видный» </w:t>
      </w:r>
      <w:r w:rsidR="0082386E">
        <w:rPr>
          <w:rFonts w:ascii="Times New Roman" w:hAnsi="Times New Roman" w:cs="Times New Roman"/>
          <w:sz w:val="24"/>
          <w:szCs w:val="28"/>
          <w:lang w:eastAsia="ru-RU"/>
        </w:rPr>
        <w:t xml:space="preserve">               </w:t>
      </w:r>
      <w:r w:rsidRPr="0082386E">
        <w:rPr>
          <w:rFonts w:ascii="Times New Roman" w:hAnsi="Times New Roman" w:cs="Times New Roman"/>
          <w:sz w:val="24"/>
          <w:szCs w:val="28"/>
          <w:lang w:eastAsia="ru-RU"/>
        </w:rPr>
        <w:t>(1123,6 м). Строительство моста через р.</w:t>
      </w:r>
      <w:r w:rsidR="00CC7009" w:rsidRPr="0082386E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82386E">
        <w:rPr>
          <w:rFonts w:ascii="Times New Roman" w:hAnsi="Times New Roman" w:cs="Times New Roman"/>
          <w:sz w:val="24"/>
          <w:szCs w:val="28"/>
          <w:lang w:eastAsia="ru-RU"/>
        </w:rPr>
        <w:t xml:space="preserve">Уводь </w:t>
      </w:r>
      <w:r w:rsidRPr="0082386E">
        <w:rPr>
          <w:rFonts w:ascii="Times New Roman" w:hAnsi="Times New Roman" w:cs="Times New Roman"/>
          <w:sz w:val="24"/>
          <w:szCs w:val="28"/>
          <w:lang w:eastAsia="ru-RU"/>
        </w:rPr>
        <w:t xml:space="preserve">по ул. Набережной и автодороги </w:t>
      </w:r>
      <w:r w:rsidR="0082386E">
        <w:rPr>
          <w:rFonts w:ascii="Times New Roman" w:hAnsi="Times New Roman" w:cs="Times New Roman"/>
          <w:sz w:val="24"/>
          <w:szCs w:val="28"/>
          <w:lang w:eastAsia="ru-RU"/>
        </w:rPr>
        <w:t xml:space="preserve">                      </w:t>
      </w:r>
      <w:r w:rsidRPr="0082386E">
        <w:rPr>
          <w:rFonts w:ascii="Times New Roman" w:hAnsi="Times New Roman" w:cs="Times New Roman"/>
          <w:sz w:val="24"/>
          <w:szCs w:val="28"/>
          <w:lang w:eastAsia="ru-RU"/>
        </w:rPr>
        <w:t>на участке от ул</w:t>
      </w:r>
      <w:r w:rsidR="0082386E">
        <w:rPr>
          <w:rFonts w:ascii="Times New Roman" w:hAnsi="Times New Roman" w:cs="Times New Roman"/>
          <w:sz w:val="24"/>
          <w:szCs w:val="28"/>
          <w:lang w:eastAsia="ru-RU"/>
        </w:rPr>
        <w:t xml:space="preserve">. Профсоюзной до ул. Рыбинской </w:t>
      </w:r>
      <w:r w:rsidRPr="0082386E">
        <w:rPr>
          <w:rFonts w:ascii="Times New Roman" w:hAnsi="Times New Roman" w:cs="Times New Roman"/>
          <w:sz w:val="24"/>
          <w:szCs w:val="28"/>
          <w:lang w:eastAsia="ru-RU"/>
        </w:rPr>
        <w:t xml:space="preserve">в г. Иваново (658,5 м) перенесено </w:t>
      </w:r>
      <w:r w:rsidR="0082386E">
        <w:rPr>
          <w:rFonts w:ascii="Times New Roman" w:hAnsi="Times New Roman" w:cs="Times New Roman"/>
          <w:sz w:val="24"/>
          <w:szCs w:val="28"/>
          <w:lang w:eastAsia="ru-RU"/>
        </w:rPr>
        <w:t xml:space="preserve">                  </w:t>
      </w:r>
      <w:r w:rsidRPr="0082386E">
        <w:rPr>
          <w:rFonts w:ascii="Times New Roman" w:hAnsi="Times New Roman" w:cs="Times New Roman"/>
          <w:sz w:val="24"/>
          <w:szCs w:val="28"/>
          <w:lang w:eastAsia="ru-RU"/>
        </w:rPr>
        <w:t>на 2022 год.</w:t>
      </w:r>
    </w:p>
    <w:p w14:paraId="4EF57677" w14:textId="77777777" w:rsidR="00F0754E" w:rsidRPr="0082386E" w:rsidRDefault="00F0754E" w:rsidP="0082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14:paraId="39CE81E8" w14:textId="77777777" w:rsidR="00693729" w:rsidRPr="0082386E" w:rsidRDefault="00693729" w:rsidP="00823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2386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 Малое и среднее предпринимательство</w:t>
      </w:r>
    </w:p>
    <w:p w14:paraId="425A707B" w14:textId="77777777" w:rsidR="008138E1" w:rsidRPr="0082386E" w:rsidRDefault="008138E1" w:rsidP="008238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2299F84D" w14:textId="369997E8" w:rsidR="003B6FD4" w:rsidRPr="0082386E" w:rsidRDefault="003B6FD4" w:rsidP="008238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86E">
        <w:rPr>
          <w:rFonts w:ascii="Times New Roman" w:hAnsi="Times New Roman" w:cs="Times New Roman"/>
          <w:sz w:val="24"/>
          <w:szCs w:val="28"/>
        </w:rPr>
        <w:t xml:space="preserve">На сегодняшний день источником информации о количестве субъектов малого </w:t>
      </w:r>
      <w:r w:rsidR="0082386E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Pr="0082386E">
        <w:rPr>
          <w:rFonts w:ascii="Times New Roman" w:hAnsi="Times New Roman" w:cs="Times New Roman"/>
          <w:sz w:val="24"/>
          <w:szCs w:val="28"/>
        </w:rPr>
        <w:t xml:space="preserve">и среднего бизнеса является Единый реестр субъектов малого и среднего предпринимательства (далее – СМСП), размещенный на сайте Федеральной налоговой службы. </w:t>
      </w:r>
    </w:p>
    <w:p w14:paraId="07D75EBE" w14:textId="38923F21" w:rsidR="003B6FD4" w:rsidRPr="0082386E" w:rsidRDefault="003B6FD4" w:rsidP="008238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86E">
        <w:rPr>
          <w:rFonts w:ascii="Times New Roman" w:hAnsi="Times New Roman" w:cs="Times New Roman"/>
          <w:sz w:val="24"/>
          <w:szCs w:val="28"/>
        </w:rPr>
        <w:t>Согласно данным указанного реестра по итогам 2018 года в областном центре осуществляли деятельность более 16,0 тыс. малых и средних предприятий</w:t>
      </w:r>
      <w:r w:rsidR="00043ABE" w:rsidRPr="0082386E">
        <w:rPr>
          <w:rFonts w:ascii="Times New Roman" w:hAnsi="Times New Roman" w:cs="Times New Roman"/>
          <w:sz w:val="24"/>
          <w:szCs w:val="28"/>
        </w:rPr>
        <w:t xml:space="preserve"> (без учета индивидуальных предпринимателей)</w:t>
      </w:r>
      <w:r w:rsidRPr="0082386E">
        <w:rPr>
          <w:rFonts w:ascii="Times New Roman" w:hAnsi="Times New Roman" w:cs="Times New Roman"/>
          <w:sz w:val="24"/>
          <w:szCs w:val="28"/>
        </w:rPr>
        <w:t xml:space="preserve">. По сравнению с 2017 годом количество СМСП незначительно увеличилось. Основная доля СМСП, зарегистрированных в Ивановской области, приходится на областной центр – 77,8%. </w:t>
      </w:r>
    </w:p>
    <w:p w14:paraId="6C5A5E69" w14:textId="773DDEF1" w:rsidR="003B6FD4" w:rsidRPr="0082386E" w:rsidRDefault="003B6FD4" w:rsidP="008238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86E">
        <w:rPr>
          <w:rFonts w:ascii="Times New Roman" w:hAnsi="Times New Roman" w:cs="Times New Roman"/>
          <w:sz w:val="24"/>
          <w:szCs w:val="28"/>
        </w:rPr>
        <w:t xml:space="preserve">По расчетным данным среднесписочная численность работников (без внешних совместителей), занятых на малых и средних предприятиях в 2018 году, составила </w:t>
      </w:r>
      <w:r w:rsidR="0082386E"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Pr="0082386E">
        <w:rPr>
          <w:rFonts w:ascii="Times New Roman" w:hAnsi="Times New Roman" w:cs="Times New Roman"/>
          <w:sz w:val="24"/>
          <w:szCs w:val="28"/>
        </w:rPr>
        <w:t xml:space="preserve">78,6 тыс. чел., оборот малых и средних предприятий – 348,8 млрд руб. (в 2017 году – </w:t>
      </w:r>
      <w:r w:rsidR="0082386E"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82386E">
        <w:rPr>
          <w:rFonts w:ascii="Times New Roman" w:hAnsi="Times New Roman" w:cs="Times New Roman"/>
          <w:sz w:val="24"/>
          <w:szCs w:val="28"/>
        </w:rPr>
        <w:t>78,4 тыс. чел. и 333,8 млрд руб. соответственно). Рост показателей, характеризующих состояние малого и среднего предпринимательства, обусловлен повышением деловой активности предпринимателей, расширением доступа к финансовым ресурсам, совершенствованием технологий и организации производства, реализацией стимулирующих мероприятий в сфере налогообложения СМСП.</w:t>
      </w:r>
    </w:p>
    <w:p w14:paraId="61E4D59B" w14:textId="357DCFCC" w:rsidR="003B6FD4" w:rsidRPr="0082386E" w:rsidRDefault="003B6FD4" w:rsidP="008238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zh-CN"/>
        </w:rPr>
      </w:pPr>
      <w:r w:rsidRPr="0082386E">
        <w:rPr>
          <w:rFonts w:ascii="Times New Roman" w:hAnsi="Times New Roman" w:cs="Times New Roman"/>
          <w:sz w:val="24"/>
          <w:szCs w:val="28"/>
          <w:lang w:eastAsia="zh-CN"/>
        </w:rPr>
        <w:t>С учетом сведений, полученных</w:t>
      </w:r>
      <w:r w:rsidRPr="0082386E">
        <w:rPr>
          <w:rFonts w:ascii="Times New Roman" w:hAnsi="Times New Roman" w:cs="Times New Roman"/>
          <w:sz w:val="24"/>
          <w:szCs w:val="28"/>
        </w:rPr>
        <w:t xml:space="preserve"> из Еди</w:t>
      </w:r>
      <w:r w:rsidR="0082386E">
        <w:rPr>
          <w:rFonts w:ascii="Times New Roman" w:hAnsi="Times New Roman" w:cs="Times New Roman"/>
          <w:sz w:val="24"/>
          <w:szCs w:val="28"/>
        </w:rPr>
        <w:t xml:space="preserve">ного реестра СМСП, число малых </w:t>
      </w:r>
      <w:r w:rsidRPr="0082386E">
        <w:rPr>
          <w:rFonts w:ascii="Times New Roman" w:hAnsi="Times New Roman" w:cs="Times New Roman"/>
          <w:sz w:val="24"/>
          <w:szCs w:val="28"/>
        </w:rPr>
        <w:t>и средних предприятий в 2019 году оценивается на уровне 16,05 тыс. ед., среднесписочная численность работников (без внешних совместителей), занятых на малых и средних предприятиях</w:t>
      </w:r>
      <w:r w:rsidR="0082386E">
        <w:rPr>
          <w:rFonts w:ascii="Times New Roman" w:hAnsi="Times New Roman" w:cs="Times New Roman"/>
          <w:sz w:val="24"/>
          <w:szCs w:val="28"/>
        </w:rPr>
        <w:t>,</w:t>
      </w:r>
      <w:r w:rsidRPr="0082386E">
        <w:rPr>
          <w:rFonts w:ascii="Times New Roman" w:hAnsi="Times New Roman" w:cs="Times New Roman"/>
          <w:sz w:val="24"/>
          <w:szCs w:val="28"/>
        </w:rPr>
        <w:t xml:space="preserve"> – 78,7 тыс. чел., оборот малых и средних предприятий – 363,5 млрд руб.</w:t>
      </w:r>
    </w:p>
    <w:p w14:paraId="22E39811" w14:textId="1155B592" w:rsidR="003B6FD4" w:rsidRPr="0082386E" w:rsidRDefault="003B6FD4" w:rsidP="008238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zh-CN"/>
        </w:rPr>
      </w:pPr>
      <w:r w:rsidRPr="0082386E">
        <w:rPr>
          <w:rFonts w:ascii="Times New Roman" w:hAnsi="Times New Roman" w:cs="Times New Roman"/>
          <w:sz w:val="24"/>
          <w:szCs w:val="28"/>
          <w:lang w:eastAsia="zh-CN"/>
        </w:rPr>
        <w:t xml:space="preserve">Уменьшение количества СМСП с ранее прогнозируемыми данными произошло </w:t>
      </w:r>
      <w:r w:rsidR="0082386E">
        <w:rPr>
          <w:rFonts w:ascii="Times New Roman" w:hAnsi="Times New Roman" w:cs="Times New Roman"/>
          <w:sz w:val="24"/>
          <w:szCs w:val="28"/>
          <w:lang w:eastAsia="zh-CN"/>
        </w:rPr>
        <w:t xml:space="preserve">              </w:t>
      </w:r>
      <w:r w:rsidRPr="0082386E">
        <w:rPr>
          <w:rFonts w:ascii="Times New Roman" w:hAnsi="Times New Roman" w:cs="Times New Roman"/>
          <w:sz w:val="24"/>
          <w:szCs w:val="28"/>
          <w:lang w:eastAsia="zh-CN"/>
        </w:rPr>
        <w:t xml:space="preserve">в связи с тем, что ежегодно 10 августа сведения о юридических лицах и индивидуальных предпринимателях исключаются из Единого реестра в случае, если такие юридические лица, индивидуальные предприниматели не предоставили в соответствии </w:t>
      </w:r>
      <w:r w:rsidR="0082386E">
        <w:rPr>
          <w:rFonts w:ascii="Times New Roman" w:hAnsi="Times New Roman" w:cs="Times New Roman"/>
          <w:sz w:val="24"/>
          <w:szCs w:val="28"/>
          <w:lang w:eastAsia="zh-CN"/>
        </w:rPr>
        <w:t xml:space="preserve">                                </w:t>
      </w:r>
      <w:r w:rsidRPr="0082386E">
        <w:rPr>
          <w:rFonts w:ascii="Times New Roman" w:hAnsi="Times New Roman" w:cs="Times New Roman"/>
          <w:sz w:val="24"/>
          <w:szCs w:val="28"/>
          <w:lang w:eastAsia="zh-CN"/>
        </w:rPr>
        <w:t xml:space="preserve">с законодательством Российской Федерации о налогах и сборах сведения </w:t>
      </w:r>
      <w:r w:rsidR="0082386E">
        <w:rPr>
          <w:rFonts w:ascii="Times New Roman" w:hAnsi="Times New Roman" w:cs="Times New Roman"/>
          <w:sz w:val="24"/>
          <w:szCs w:val="28"/>
          <w:lang w:eastAsia="zh-CN"/>
        </w:rPr>
        <w:t xml:space="preserve">                                 </w:t>
      </w:r>
      <w:r w:rsidRPr="0082386E">
        <w:rPr>
          <w:rFonts w:ascii="Times New Roman" w:hAnsi="Times New Roman" w:cs="Times New Roman"/>
          <w:sz w:val="24"/>
          <w:szCs w:val="28"/>
          <w:lang w:eastAsia="zh-CN"/>
        </w:rPr>
        <w:t xml:space="preserve">о среднесписочной численности работников за предшествующий календарный год </w:t>
      </w:r>
      <w:r w:rsidR="0082386E">
        <w:rPr>
          <w:rFonts w:ascii="Times New Roman" w:hAnsi="Times New Roman" w:cs="Times New Roman"/>
          <w:sz w:val="24"/>
          <w:szCs w:val="28"/>
          <w:lang w:eastAsia="zh-CN"/>
        </w:rPr>
        <w:t xml:space="preserve">                 </w:t>
      </w:r>
      <w:r w:rsidRPr="0082386E">
        <w:rPr>
          <w:rFonts w:ascii="Times New Roman" w:hAnsi="Times New Roman" w:cs="Times New Roman"/>
          <w:sz w:val="24"/>
          <w:szCs w:val="28"/>
          <w:lang w:eastAsia="zh-CN"/>
        </w:rPr>
        <w:t xml:space="preserve">и (или) налоговую отчетность, позволяющую определить величину дохода, полученного от осуществления предпринимательской деятельности за предшествующий календарный год, либо такие юридические лица, индивидуальные предприниматели перестали отвечать условиям, установленным статьей 4 Федерального закона от 24.07.2007 № 209-ФЗ </w:t>
      </w:r>
      <w:r w:rsidR="0082386E">
        <w:rPr>
          <w:rFonts w:ascii="Times New Roman" w:hAnsi="Times New Roman" w:cs="Times New Roman"/>
          <w:sz w:val="24"/>
          <w:szCs w:val="28"/>
          <w:lang w:eastAsia="zh-CN"/>
        </w:rPr>
        <w:t xml:space="preserve">                    </w:t>
      </w:r>
      <w:r w:rsidRPr="0082386E">
        <w:rPr>
          <w:rFonts w:ascii="Times New Roman" w:hAnsi="Times New Roman" w:cs="Times New Roman"/>
          <w:sz w:val="24"/>
          <w:szCs w:val="28"/>
          <w:lang w:eastAsia="zh-CN"/>
        </w:rPr>
        <w:t>«О развитии малого и среднего предпринимательства в Российской Федерации».</w:t>
      </w:r>
    </w:p>
    <w:p w14:paraId="104D8837" w14:textId="19D3AB49" w:rsidR="00561ACE" w:rsidRPr="0082386E" w:rsidRDefault="007E57C2" w:rsidP="008238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r w:rsidRPr="0082386E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lastRenderedPageBreak/>
        <w:t>О</w:t>
      </w:r>
      <w:r w:rsidR="00561ACE" w:rsidRPr="0082386E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ценочные показатели по количеству малых и средних организаций, численности </w:t>
      </w:r>
      <w:r w:rsidR="00561ACE" w:rsidRPr="0082386E">
        <w:rPr>
          <w:rFonts w:ascii="Times New Roman" w:hAnsi="Times New Roman" w:cs="Times New Roman"/>
          <w:color w:val="000000"/>
          <w:sz w:val="24"/>
          <w:szCs w:val="28"/>
        </w:rPr>
        <w:t xml:space="preserve">занятых на малых и средних предприятиях </w:t>
      </w:r>
      <w:r w:rsidR="00561ACE" w:rsidRPr="0082386E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на 2019 год и плановый период до 2022 года скорректированы в сторону уменьшения по сравнению с прогнозом </w:t>
      </w:r>
      <w:r w:rsidR="00561ACE" w:rsidRPr="0082386E">
        <w:rPr>
          <w:rFonts w:ascii="Times New Roman" w:eastAsia="Times New Roman" w:hAnsi="Times New Roman" w:cs="Times New Roman"/>
          <w:sz w:val="24"/>
          <w:szCs w:val="28"/>
          <w:lang w:eastAsia="ru-RU"/>
        </w:rPr>
        <w:t>на 2019-2021</w:t>
      </w:r>
      <w:r w:rsidR="00561ACE" w:rsidRPr="0082386E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 гг. </w:t>
      </w:r>
    </w:p>
    <w:p w14:paraId="096F56C3" w14:textId="087D24A5" w:rsidR="003B6FD4" w:rsidRPr="0082386E" w:rsidRDefault="003B6FD4" w:rsidP="008238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2386E">
        <w:rPr>
          <w:rFonts w:ascii="Times New Roman" w:eastAsia="Calibri" w:hAnsi="Times New Roman" w:cs="Times New Roman"/>
          <w:sz w:val="24"/>
          <w:szCs w:val="28"/>
        </w:rPr>
        <w:t xml:space="preserve">Учитывая принимаемые меры </w:t>
      </w:r>
      <w:r w:rsidR="0082386E">
        <w:rPr>
          <w:rFonts w:ascii="Times New Roman" w:eastAsia="Calibri" w:hAnsi="Times New Roman" w:cs="Times New Roman"/>
          <w:sz w:val="24"/>
          <w:szCs w:val="28"/>
        </w:rPr>
        <w:t xml:space="preserve">на уровне государства, региона </w:t>
      </w:r>
      <w:r w:rsidRPr="0082386E">
        <w:rPr>
          <w:rFonts w:ascii="Times New Roman" w:eastAsia="Calibri" w:hAnsi="Times New Roman" w:cs="Times New Roman"/>
          <w:sz w:val="24"/>
          <w:szCs w:val="28"/>
        </w:rPr>
        <w:t xml:space="preserve">и муниципалитета, </w:t>
      </w:r>
      <w:r w:rsidR="0082386E">
        <w:rPr>
          <w:rFonts w:ascii="Times New Roman" w:eastAsia="Calibri" w:hAnsi="Times New Roman" w:cs="Times New Roman"/>
          <w:sz w:val="24"/>
          <w:szCs w:val="28"/>
        </w:rPr>
        <w:t xml:space="preserve">          </w:t>
      </w:r>
      <w:r w:rsidRPr="0082386E">
        <w:rPr>
          <w:rFonts w:ascii="Times New Roman" w:eastAsia="Calibri" w:hAnsi="Times New Roman" w:cs="Times New Roman"/>
          <w:sz w:val="24"/>
          <w:szCs w:val="28"/>
        </w:rPr>
        <w:t xml:space="preserve">в прогнозном периоде запланирован рост показателей, характеризующих состояние малого и среднего бизнеса на территории городского округа Иваново. К 2020 году </w:t>
      </w:r>
      <w:r w:rsidRPr="0082386E">
        <w:rPr>
          <w:rFonts w:ascii="Times New Roman" w:hAnsi="Times New Roman" w:cs="Times New Roman"/>
          <w:color w:val="000000"/>
          <w:sz w:val="24"/>
          <w:szCs w:val="28"/>
        </w:rPr>
        <w:t xml:space="preserve">количество малых и средних организаций составит 16,07 тыс. ед., к 2021 году – </w:t>
      </w:r>
      <w:r w:rsidR="0082386E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</w:t>
      </w:r>
      <w:r w:rsidRPr="0082386E">
        <w:rPr>
          <w:rFonts w:ascii="Times New Roman" w:hAnsi="Times New Roman" w:cs="Times New Roman"/>
          <w:color w:val="000000"/>
          <w:sz w:val="24"/>
          <w:szCs w:val="28"/>
        </w:rPr>
        <w:t>16,08 тыс. ед., к 2022 – 16,10 тыс. ед. Численность занятых на малых и средних предприятиях к 2020 году составит 78,7</w:t>
      </w:r>
      <w:r w:rsidR="0082386E">
        <w:rPr>
          <w:rFonts w:ascii="Times New Roman" w:hAnsi="Times New Roman" w:cs="Times New Roman"/>
          <w:color w:val="000000"/>
          <w:sz w:val="24"/>
          <w:szCs w:val="28"/>
        </w:rPr>
        <w:t xml:space="preserve"> тыс. чел., </w:t>
      </w:r>
      <w:r w:rsidRPr="0082386E">
        <w:rPr>
          <w:rFonts w:ascii="Times New Roman" w:hAnsi="Times New Roman" w:cs="Times New Roman"/>
          <w:color w:val="000000"/>
          <w:sz w:val="24"/>
          <w:szCs w:val="28"/>
        </w:rPr>
        <w:t>в 2021 году - 78,8 тыс. чел., в 2022 году – 78,9 тыс. чел. Оборот прогнозируется на уровне 376,8 млрд руб. в 2020 году, 394,8</w:t>
      </w:r>
      <w:r w:rsidR="0082386E">
        <w:rPr>
          <w:rFonts w:ascii="Times New Roman" w:hAnsi="Times New Roman" w:cs="Times New Roman"/>
          <w:color w:val="000000"/>
          <w:sz w:val="24"/>
          <w:szCs w:val="28"/>
        </w:rPr>
        <w:t xml:space="preserve"> млрд руб. </w:t>
      </w:r>
      <w:r w:rsidRPr="0082386E">
        <w:rPr>
          <w:rFonts w:ascii="Times New Roman" w:hAnsi="Times New Roman" w:cs="Times New Roman"/>
          <w:color w:val="000000"/>
          <w:sz w:val="24"/>
          <w:szCs w:val="28"/>
        </w:rPr>
        <w:t>в 2021 году и 413,7 млрд руб. к 2022 году.</w:t>
      </w:r>
    </w:p>
    <w:p w14:paraId="0F6033D6" w14:textId="77777777" w:rsidR="003B6FD4" w:rsidRDefault="003B6FD4" w:rsidP="003B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B2F3E1" w14:textId="77777777" w:rsidR="00975DEE" w:rsidRDefault="00975DEE" w:rsidP="003B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B65A6E" w14:textId="77777777" w:rsidR="00E3487E" w:rsidRDefault="00E3487E" w:rsidP="003B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B146AC" w14:textId="77777777" w:rsidR="003B6FD4" w:rsidRPr="002736F6" w:rsidRDefault="003B6FD4" w:rsidP="003B6F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D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777BC8" wp14:editId="54264BE1">
            <wp:extent cx="5641675" cy="3338423"/>
            <wp:effectExtent l="0" t="0" r="0" b="0"/>
            <wp:docPr id="9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6B824E0" w14:textId="77777777" w:rsidR="00E3487E" w:rsidRDefault="00E3487E" w:rsidP="003B6FD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8"/>
          <w:lang w:eastAsia="ru-RU"/>
        </w:rPr>
      </w:pPr>
    </w:p>
    <w:p w14:paraId="7742AE51" w14:textId="77777777" w:rsidR="00975DEE" w:rsidRDefault="00975DEE" w:rsidP="003B6FD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8"/>
          <w:lang w:eastAsia="ru-RU"/>
        </w:rPr>
      </w:pPr>
    </w:p>
    <w:p w14:paraId="13BC20F0" w14:textId="77777777" w:rsidR="003B6FD4" w:rsidRPr="00E3487E" w:rsidRDefault="003B6FD4" w:rsidP="003B6FD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8"/>
          <w:lang w:eastAsia="ru-RU"/>
        </w:rPr>
      </w:pPr>
      <w:r w:rsidRPr="00E3487E">
        <w:rPr>
          <w:rFonts w:ascii="Times New Roman" w:eastAsia="Calibri" w:hAnsi="Times New Roman" w:cs="Times New Roman"/>
          <w:b/>
          <w:i/>
          <w:sz w:val="24"/>
          <w:szCs w:val="28"/>
          <w:lang w:eastAsia="ru-RU"/>
        </w:rPr>
        <w:t>Реализация муниципальных программ</w:t>
      </w:r>
    </w:p>
    <w:p w14:paraId="5C39CEED" w14:textId="77777777" w:rsidR="00975DEE" w:rsidRPr="00E3487E" w:rsidRDefault="00975DEE" w:rsidP="003B6FD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8"/>
          <w:lang w:eastAsia="ru-RU"/>
        </w:rPr>
      </w:pPr>
    </w:p>
    <w:p w14:paraId="334849B1" w14:textId="47235C98" w:rsidR="003B6FD4" w:rsidRPr="00E3487E" w:rsidRDefault="003B6FD4" w:rsidP="00E3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3487E">
        <w:rPr>
          <w:rFonts w:ascii="Times New Roman" w:hAnsi="Times New Roman" w:cs="Times New Roman"/>
          <w:sz w:val="24"/>
          <w:szCs w:val="28"/>
        </w:rPr>
        <w:t>В целях оказания поддержки СМСП Администрацией города Иванова реализуются две муниципальные программ</w:t>
      </w:r>
      <w:r w:rsidR="00E3487E">
        <w:rPr>
          <w:rFonts w:ascii="Times New Roman" w:hAnsi="Times New Roman" w:cs="Times New Roman"/>
          <w:sz w:val="24"/>
          <w:szCs w:val="28"/>
        </w:rPr>
        <w:t xml:space="preserve">ы – «Развитие субъектов малого </w:t>
      </w:r>
      <w:r w:rsidRPr="00E3487E">
        <w:rPr>
          <w:rFonts w:ascii="Times New Roman" w:hAnsi="Times New Roman" w:cs="Times New Roman"/>
          <w:sz w:val="24"/>
          <w:szCs w:val="28"/>
        </w:rPr>
        <w:t>и среднего предпринимательства в городе Иванове»</w:t>
      </w:r>
      <w:r w:rsidRPr="00E3487E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footnoteReference w:id="1"/>
      </w:r>
      <w:r w:rsidRPr="00E3487E">
        <w:rPr>
          <w:rFonts w:ascii="Times New Roman" w:hAnsi="Times New Roman" w:cs="Times New Roman"/>
          <w:sz w:val="24"/>
          <w:szCs w:val="28"/>
        </w:rPr>
        <w:t xml:space="preserve"> и «Развитие инвестиционной деятельности </w:t>
      </w:r>
      <w:r w:rsidR="00E3487E">
        <w:rPr>
          <w:rFonts w:ascii="Times New Roman" w:hAnsi="Times New Roman" w:cs="Times New Roman"/>
          <w:sz w:val="24"/>
          <w:szCs w:val="28"/>
        </w:rPr>
        <w:t xml:space="preserve">                     </w:t>
      </w:r>
      <w:r w:rsidRPr="00E3487E">
        <w:rPr>
          <w:rFonts w:ascii="Times New Roman" w:hAnsi="Times New Roman" w:cs="Times New Roman"/>
          <w:sz w:val="24"/>
          <w:szCs w:val="28"/>
        </w:rPr>
        <w:t>и инновационной сферы в городе Иванове»</w:t>
      </w:r>
      <w:r w:rsidRPr="00E3487E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footnoteReference w:id="2"/>
      </w:r>
      <w:r w:rsidRPr="00E3487E">
        <w:rPr>
          <w:rFonts w:ascii="Times New Roman" w:hAnsi="Times New Roman" w:cs="Times New Roman"/>
          <w:sz w:val="24"/>
          <w:szCs w:val="28"/>
        </w:rPr>
        <w:t>, которые направлены на повышение предпринимательской активности, формирование на территории города Иванова благоприятных ус</w:t>
      </w:r>
      <w:r w:rsidR="00E3487E">
        <w:rPr>
          <w:rFonts w:ascii="Times New Roman" w:hAnsi="Times New Roman" w:cs="Times New Roman"/>
          <w:sz w:val="24"/>
          <w:szCs w:val="28"/>
        </w:rPr>
        <w:t xml:space="preserve">ловий для роста инвестиционных </w:t>
      </w:r>
      <w:r w:rsidRPr="00E3487E">
        <w:rPr>
          <w:rFonts w:ascii="Times New Roman" w:hAnsi="Times New Roman" w:cs="Times New Roman"/>
          <w:sz w:val="24"/>
          <w:szCs w:val="28"/>
        </w:rPr>
        <w:t>и инновационных элементов, составляющих структуру экономики.</w:t>
      </w:r>
    </w:p>
    <w:p w14:paraId="773FCF1C" w14:textId="53F01ED5" w:rsidR="003B6FD4" w:rsidRPr="00E3487E" w:rsidRDefault="003B6FD4" w:rsidP="00E34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3487E">
        <w:rPr>
          <w:rFonts w:ascii="Times New Roman" w:hAnsi="Times New Roman" w:cs="Times New Roman"/>
          <w:sz w:val="24"/>
          <w:szCs w:val="28"/>
        </w:rPr>
        <w:lastRenderedPageBreak/>
        <w:t xml:space="preserve">На реализацию муниципальной </w:t>
      </w:r>
      <w:r w:rsidRPr="00E3487E">
        <w:rPr>
          <w:rFonts w:ascii="Times New Roman" w:hAnsi="Times New Roman" w:cs="Times New Roman"/>
          <w:color w:val="000000"/>
          <w:sz w:val="24"/>
          <w:szCs w:val="28"/>
        </w:rPr>
        <w:t>програ</w:t>
      </w:r>
      <w:r w:rsidR="00E3487E">
        <w:rPr>
          <w:rFonts w:ascii="Times New Roman" w:hAnsi="Times New Roman" w:cs="Times New Roman"/>
          <w:color w:val="000000"/>
          <w:sz w:val="24"/>
          <w:szCs w:val="28"/>
        </w:rPr>
        <w:t xml:space="preserve">ммы «Развитие субъектов малого </w:t>
      </w:r>
      <w:r w:rsidRPr="00E3487E">
        <w:rPr>
          <w:rFonts w:ascii="Times New Roman" w:hAnsi="Times New Roman" w:cs="Times New Roman"/>
          <w:color w:val="000000"/>
          <w:sz w:val="24"/>
          <w:szCs w:val="28"/>
        </w:rPr>
        <w:t>и среднего предпринимательства в городе Иванове»</w:t>
      </w:r>
      <w:r w:rsidRPr="00E3487E">
        <w:rPr>
          <w:rFonts w:ascii="Times New Roman" w:hAnsi="Times New Roman" w:cs="Times New Roman"/>
          <w:sz w:val="24"/>
          <w:szCs w:val="28"/>
        </w:rPr>
        <w:t xml:space="preserve"> </w:t>
      </w:r>
      <w:r w:rsidRPr="00E3487E">
        <w:rPr>
          <w:rFonts w:ascii="Times New Roman" w:hAnsi="Times New Roman" w:cs="Times New Roman"/>
          <w:color w:val="000000"/>
          <w:sz w:val="24"/>
          <w:szCs w:val="28"/>
        </w:rPr>
        <w:t>в 2018 году в бюджете города Иванова было предусмотрено 3,1 млн руб.</w:t>
      </w:r>
      <w:r w:rsidRPr="00E3487E">
        <w:rPr>
          <w:rFonts w:ascii="Times New Roman" w:hAnsi="Times New Roman" w:cs="Times New Roman"/>
          <w:sz w:val="24"/>
          <w:szCs w:val="28"/>
        </w:rPr>
        <w:t xml:space="preserve"> </w:t>
      </w:r>
      <w:r w:rsidRPr="00E3487E">
        <w:rPr>
          <w:rFonts w:ascii="Times New Roman" w:hAnsi="Times New Roman" w:cs="Times New Roman"/>
          <w:color w:val="000000"/>
          <w:sz w:val="24"/>
          <w:szCs w:val="28"/>
        </w:rPr>
        <w:t xml:space="preserve">В </w:t>
      </w:r>
      <w:r w:rsidR="00E3487E">
        <w:rPr>
          <w:rFonts w:ascii="Times New Roman" w:hAnsi="Times New Roman" w:cs="Times New Roman"/>
          <w:sz w:val="24"/>
          <w:szCs w:val="28"/>
        </w:rPr>
        <w:t xml:space="preserve">рамках программы действуют </w:t>
      </w:r>
      <w:r w:rsidRPr="00E3487E">
        <w:rPr>
          <w:rFonts w:ascii="Times New Roman" w:hAnsi="Times New Roman" w:cs="Times New Roman"/>
          <w:sz w:val="24"/>
          <w:szCs w:val="28"/>
        </w:rPr>
        <w:t>три подпрограммы, каждая из которых предполагает исполнение нескольких мероприятий. Всего в 201</w:t>
      </w:r>
      <w:r w:rsidR="007E57C2" w:rsidRPr="00E3487E">
        <w:rPr>
          <w:rFonts w:ascii="Times New Roman" w:hAnsi="Times New Roman" w:cs="Times New Roman"/>
          <w:sz w:val="24"/>
          <w:szCs w:val="28"/>
        </w:rPr>
        <w:t>8</w:t>
      </w:r>
      <w:r w:rsidRPr="00E3487E">
        <w:rPr>
          <w:rFonts w:ascii="Times New Roman" w:hAnsi="Times New Roman" w:cs="Times New Roman"/>
          <w:sz w:val="24"/>
          <w:szCs w:val="28"/>
        </w:rPr>
        <w:t xml:space="preserve"> году финансовую поддержку получили 13 СМСП </w:t>
      </w:r>
      <w:r w:rsidRPr="00E3487E">
        <w:rPr>
          <w:rFonts w:ascii="Times New Roman" w:eastAsia="Calibri" w:hAnsi="Times New Roman" w:cs="Times New Roman"/>
          <w:sz w:val="24"/>
          <w:szCs w:val="28"/>
        </w:rPr>
        <w:t xml:space="preserve">на сумму 2 582,5 тыс. руб. </w:t>
      </w:r>
      <w:r w:rsidR="00E3487E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</w:t>
      </w:r>
      <w:r w:rsidRPr="00E3487E">
        <w:rPr>
          <w:rFonts w:ascii="Times New Roman" w:eastAsia="Calibri" w:hAnsi="Times New Roman" w:cs="Times New Roman"/>
          <w:sz w:val="24"/>
          <w:szCs w:val="28"/>
        </w:rPr>
        <w:t xml:space="preserve">по 4 направлениям, организационно-консультационную – 135 СМСП на сумму </w:t>
      </w:r>
      <w:r w:rsidR="00E3487E">
        <w:rPr>
          <w:rFonts w:ascii="Times New Roman" w:eastAsia="Calibri" w:hAnsi="Times New Roman" w:cs="Times New Roman"/>
          <w:sz w:val="24"/>
          <w:szCs w:val="28"/>
        </w:rPr>
        <w:t xml:space="preserve">                    </w:t>
      </w:r>
      <w:r w:rsidRPr="00E3487E">
        <w:rPr>
          <w:rFonts w:ascii="Times New Roman" w:eastAsia="Calibri" w:hAnsi="Times New Roman" w:cs="Times New Roman"/>
          <w:sz w:val="24"/>
          <w:szCs w:val="28"/>
        </w:rPr>
        <w:t>539,2 тыс. руб.</w:t>
      </w:r>
    </w:p>
    <w:p w14:paraId="65F94DC5" w14:textId="0C8A073E" w:rsidR="003B6FD4" w:rsidRPr="00E3487E" w:rsidRDefault="003B6FD4" w:rsidP="00E34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3487E">
        <w:rPr>
          <w:rFonts w:ascii="Times New Roman" w:eastAsia="Calibri" w:hAnsi="Times New Roman" w:cs="Times New Roman"/>
          <w:sz w:val="24"/>
          <w:szCs w:val="28"/>
        </w:rPr>
        <w:t>На период 2019-2022 гг. в рамках реализации муниципальной программы поддержки бизнеса предусмотрены бю</w:t>
      </w:r>
      <w:r w:rsidR="00E3487E">
        <w:rPr>
          <w:rFonts w:ascii="Times New Roman" w:eastAsia="Calibri" w:hAnsi="Times New Roman" w:cs="Times New Roman"/>
          <w:sz w:val="24"/>
          <w:szCs w:val="28"/>
        </w:rPr>
        <w:t xml:space="preserve">джетные ассигнования в размере </w:t>
      </w:r>
      <w:r w:rsidRPr="00E3487E">
        <w:rPr>
          <w:rFonts w:ascii="Times New Roman" w:eastAsia="Calibri" w:hAnsi="Times New Roman" w:cs="Times New Roman"/>
          <w:sz w:val="24"/>
          <w:szCs w:val="28"/>
        </w:rPr>
        <w:t xml:space="preserve">14,6 млн руб. Субсидии малому и </w:t>
      </w:r>
      <w:r w:rsidR="00E3487E">
        <w:rPr>
          <w:rFonts w:ascii="Times New Roman" w:eastAsia="Calibri" w:hAnsi="Times New Roman" w:cs="Times New Roman"/>
          <w:sz w:val="24"/>
          <w:szCs w:val="28"/>
        </w:rPr>
        <w:t xml:space="preserve">среднему бизнесу предусмотрены </w:t>
      </w:r>
      <w:r w:rsidRPr="00E3487E">
        <w:rPr>
          <w:rFonts w:ascii="Times New Roman" w:eastAsia="Calibri" w:hAnsi="Times New Roman" w:cs="Times New Roman"/>
          <w:sz w:val="24"/>
          <w:szCs w:val="28"/>
        </w:rPr>
        <w:t>по 5 направлениям.</w:t>
      </w:r>
    </w:p>
    <w:p w14:paraId="28296E49" w14:textId="06A8B742" w:rsidR="003B6FD4" w:rsidRPr="00E3487E" w:rsidRDefault="003B6FD4" w:rsidP="00E3487E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3487E">
        <w:rPr>
          <w:rFonts w:ascii="Times New Roman" w:hAnsi="Times New Roman" w:cs="Times New Roman"/>
          <w:sz w:val="24"/>
          <w:szCs w:val="28"/>
        </w:rPr>
        <w:t>В 2019 году бюджетом города в рамках подпрограммы «Финансовая поддержка субъектов малого и среднего пред</w:t>
      </w:r>
      <w:r w:rsidR="00E3487E">
        <w:rPr>
          <w:rFonts w:ascii="Times New Roman" w:hAnsi="Times New Roman" w:cs="Times New Roman"/>
          <w:sz w:val="24"/>
          <w:szCs w:val="28"/>
        </w:rPr>
        <w:t xml:space="preserve">принимательства» предусмотрена </w:t>
      </w:r>
      <w:r w:rsidRPr="00E3487E">
        <w:rPr>
          <w:rFonts w:ascii="Times New Roman" w:hAnsi="Times New Roman" w:cs="Times New Roman"/>
          <w:sz w:val="24"/>
          <w:szCs w:val="28"/>
        </w:rPr>
        <w:t xml:space="preserve">в объеме 4,4 млн руб. </w:t>
      </w:r>
      <w:r w:rsidR="001F6B4B" w:rsidRPr="00E3487E">
        <w:rPr>
          <w:rFonts w:ascii="Times New Roman" w:hAnsi="Times New Roman"/>
          <w:sz w:val="24"/>
          <w:szCs w:val="28"/>
        </w:rPr>
        <w:t>За истекший период текущего года</w:t>
      </w:r>
      <w:r w:rsidR="00E3487E">
        <w:rPr>
          <w:rFonts w:ascii="Times New Roman" w:hAnsi="Times New Roman" w:cs="Times New Roman"/>
          <w:sz w:val="24"/>
          <w:szCs w:val="28"/>
        </w:rPr>
        <w:t xml:space="preserve"> поддержку получили </w:t>
      </w:r>
      <w:r w:rsidR="001F6B4B" w:rsidRPr="00E3487E">
        <w:rPr>
          <w:rFonts w:ascii="Times New Roman" w:hAnsi="Times New Roman" w:cs="Times New Roman"/>
          <w:sz w:val="24"/>
          <w:szCs w:val="28"/>
        </w:rPr>
        <w:t>18 СМСП на общую сумму 4 133,8 тыс. руб.,</w:t>
      </w:r>
      <w:r w:rsidRPr="00E3487E">
        <w:rPr>
          <w:rFonts w:ascii="Times New Roman" w:hAnsi="Times New Roman" w:cs="Times New Roman"/>
          <w:sz w:val="24"/>
          <w:szCs w:val="28"/>
        </w:rPr>
        <w:t xml:space="preserve"> по следующим мероприятиям:</w:t>
      </w:r>
    </w:p>
    <w:p w14:paraId="5878B9B0" w14:textId="76957B7B" w:rsidR="003B6FD4" w:rsidRPr="00E3487E" w:rsidRDefault="00E3487E" w:rsidP="00E34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noBreakHyphen/>
        <w:t xml:space="preserve"> </w:t>
      </w:r>
      <w:r w:rsidR="003B6FD4" w:rsidRPr="00E3487E">
        <w:rPr>
          <w:rFonts w:ascii="Times New Roman" w:hAnsi="Times New Roman" w:cs="Times New Roman"/>
          <w:sz w:val="24"/>
          <w:szCs w:val="28"/>
        </w:rPr>
        <w:t>возмещение затрат по участию в</w:t>
      </w:r>
      <w:r>
        <w:rPr>
          <w:rFonts w:ascii="Times New Roman" w:hAnsi="Times New Roman" w:cs="Times New Roman"/>
          <w:sz w:val="24"/>
          <w:szCs w:val="28"/>
        </w:rPr>
        <w:t xml:space="preserve"> региональных, межрегиональных                                </w:t>
      </w:r>
      <w:r w:rsidR="003B6FD4" w:rsidRPr="00E3487E">
        <w:rPr>
          <w:rFonts w:ascii="Times New Roman" w:hAnsi="Times New Roman" w:cs="Times New Roman"/>
          <w:sz w:val="24"/>
          <w:szCs w:val="28"/>
        </w:rPr>
        <w:t xml:space="preserve">и международных выставочно-ярмарочных мероприятиях. По данному мероприятию запланирован объем финансирования 1,75 млн руб. Субсидии получили </w:t>
      </w:r>
      <w:r w:rsidR="00975DEE">
        <w:rPr>
          <w:rFonts w:ascii="Times New Roman" w:hAnsi="Times New Roman" w:cs="Times New Roman"/>
          <w:sz w:val="24"/>
          <w:szCs w:val="28"/>
        </w:rPr>
        <w:t xml:space="preserve">                                      </w:t>
      </w:r>
      <w:r w:rsidR="003B6FD4" w:rsidRPr="00E3487E">
        <w:rPr>
          <w:rFonts w:ascii="Times New Roman" w:hAnsi="Times New Roman" w:cs="Times New Roman"/>
          <w:sz w:val="24"/>
          <w:szCs w:val="28"/>
        </w:rPr>
        <w:t>8 заявителей, денежные средства по данному мероприятию распределены в полном объеме;</w:t>
      </w:r>
    </w:p>
    <w:p w14:paraId="2A78869B" w14:textId="48D7178F" w:rsidR="003B6FD4" w:rsidRPr="00E3487E" w:rsidRDefault="00E3487E" w:rsidP="00E34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noBreakHyphen/>
        <w:t xml:space="preserve"> </w:t>
      </w:r>
      <w:r w:rsidR="003B6FD4" w:rsidRPr="00E3487E">
        <w:rPr>
          <w:rFonts w:ascii="Times New Roman" w:hAnsi="Times New Roman" w:cs="Times New Roman"/>
          <w:sz w:val="24"/>
          <w:szCs w:val="28"/>
        </w:rPr>
        <w:t xml:space="preserve">возмещение затрат по созданию мест в негосударственных дошкольных организациях и семейных детских садах 2 СМСП на сумму 400,0 тыс. руб. Предоставлена субсидия 1 СМСП на сумму 160,8 тыс. руб.; </w:t>
      </w:r>
    </w:p>
    <w:p w14:paraId="6CD0B0D6" w14:textId="30C45249" w:rsidR="003B6FD4" w:rsidRPr="00E3487E" w:rsidRDefault="00E3487E" w:rsidP="00E34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noBreakHyphen/>
        <w:t xml:space="preserve"> </w:t>
      </w:r>
      <w:r w:rsidR="003B6FD4" w:rsidRPr="00E3487E">
        <w:rPr>
          <w:rFonts w:ascii="Times New Roman" w:hAnsi="Times New Roman" w:cs="Times New Roman"/>
          <w:sz w:val="24"/>
          <w:szCs w:val="28"/>
        </w:rPr>
        <w:t>возмещение затрат по оплате про</w:t>
      </w:r>
      <w:r>
        <w:rPr>
          <w:rFonts w:ascii="Times New Roman" w:hAnsi="Times New Roman" w:cs="Times New Roman"/>
          <w:sz w:val="24"/>
          <w:szCs w:val="28"/>
        </w:rPr>
        <w:t xml:space="preserve">центов по кредитам, полученным </w:t>
      </w:r>
      <w:r w:rsidR="003B6FD4" w:rsidRPr="00E3487E">
        <w:rPr>
          <w:rFonts w:ascii="Times New Roman" w:hAnsi="Times New Roman" w:cs="Times New Roman"/>
          <w:sz w:val="24"/>
          <w:szCs w:val="28"/>
        </w:rPr>
        <w:t>в кредитных организациях, в том числе в рамках программы стимулирования кредитования субъектов малого и среднего предпринимательства, реализуемой акционерным обществом «Федеральная</w:t>
      </w:r>
      <w:r>
        <w:rPr>
          <w:rFonts w:ascii="Times New Roman" w:hAnsi="Times New Roman" w:cs="Times New Roman"/>
          <w:sz w:val="24"/>
          <w:szCs w:val="28"/>
        </w:rPr>
        <w:t xml:space="preserve"> корпорация по развитию малого </w:t>
      </w:r>
      <w:r w:rsidR="003B6FD4" w:rsidRPr="00E3487E">
        <w:rPr>
          <w:rFonts w:ascii="Times New Roman" w:hAnsi="Times New Roman" w:cs="Times New Roman"/>
          <w:sz w:val="24"/>
          <w:szCs w:val="28"/>
        </w:rPr>
        <w:t xml:space="preserve">и среднего предпринимательства», </w:t>
      </w:r>
      <w:r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="003B6FD4" w:rsidRPr="00E3487E">
        <w:rPr>
          <w:rFonts w:ascii="Times New Roman" w:hAnsi="Times New Roman" w:cs="Times New Roman"/>
          <w:sz w:val="24"/>
          <w:szCs w:val="28"/>
        </w:rPr>
        <w:t xml:space="preserve">на инвестиционные цели. Поддержку </w:t>
      </w:r>
      <w:r w:rsidR="00F566A2" w:rsidRPr="00E3487E">
        <w:rPr>
          <w:rFonts w:ascii="Times New Roman" w:hAnsi="Times New Roman" w:cs="Times New Roman"/>
          <w:sz w:val="24"/>
          <w:szCs w:val="28"/>
        </w:rPr>
        <w:t>получили</w:t>
      </w:r>
      <w:r w:rsidR="003B6FD4" w:rsidRPr="00E3487E">
        <w:rPr>
          <w:rFonts w:ascii="Times New Roman" w:hAnsi="Times New Roman" w:cs="Times New Roman"/>
          <w:sz w:val="24"/>
          <w:szCs w:val="28"/>
        </w:rPr>
        <w:t xml:space="preserve"> </w:t>
      </w:r>
      <w:r w:rsidR="00F566A2" w:rsidRPr="00E3487E">
        <w:rPr>
          <w:rFonts w:ascii="Times New Roman" w:hAnsi="Times New Roman" w:cs="Times New Roman"/>
          <w:sz w:val="24"/>
          <w:szCs w:val="28"/>
        </w:rPr>
        <w:t xml:space="preserve">2 СМСП на сумму </w:t>
      </w:r>
      <w:r w:rsidR="00975DEE">
        <w:rPr>
          <w:rFonts w:ascii="Times New Roman" w:hAnsi="Times New Roman" w:cs="Times New Roman"/>
          <w:sz w:val="24"/>
          <w:szCs w:val="28"/>
        </w:rPr>
        <w:t xml:space="preserve">                                        </w:t>
      </w:r>
      <w:r w:rsidR="00F566A2" w:rsidRPr="00E3487E">
        <w:rPr>
          <w:rFonts w:ascii="Times New Roman" w:hAnsi="Times New Roman" w:cs="Times New Roman"/>
          <w:sz w:val="24"/>
          <w:szCs w:val="28"/>
        </w:rPr>
        <w:t>633,0 тыс. руб., денежные средства по данному мероприят</w:t>
      </w:r>
      <w:r>
        <w:rPr>
          <w:rFonts w:ascii="Times New Roman" w:hAnsi="Times New Roman" w:cs="Times New Roman"/>
          <w:sz w:val="24"/>
          <w:szCs w:val="28"/>
        </w:rPr>
        <w:t>ию распределены в полном объеме;</w:t>
      </w:r>
    </w:p>
    <w:p w14:paraId="1D1CFB5A" w14:textId="557A812D" w:rsidR="003B6FD4" w:rsidRPr="00E3487E" w:rsidRDefault="00E3487E" w:rsidP="00E34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noBreakHyphen/>
        <w:t xml:space="preserve"> </w:t>
      </w:r>
      <w:r w:rsidR="003B6FD4" w:rsidRPr="00E3487E">
        <w:rPr>
          <w:rFonts w:ascii="Times New Roman" w:hAnsi="Times New Roman" w:cs="Times New Roman"/>
          <w:sz w:val="24"/>
          <w:szCs w:val="28"/>
        </w:rPr>
        <w:t xml:space="preserve">возмещение затрат по приобретению оборудования для осуществления производственной деятельности. По данному мероприятию запланирован объем финансирования 1,5 млн руб. Субсидии получили 6 заявителей, денежные средства </w:t>
      </w:r>
      <w:r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3B6FD4" w:rsidRPr="00E3487E">
        <w:rPr>
          <w:rFonts w:ascii="Times New Roman" w:hAnsi="Times New Roman" w:cs="Times New Roman"/>
          <w:sz w:val="24"/>
          <w:szCs w:val="28"/>
        </w:rPr>
        <w:t xml:space="preserve">по данному мероприятию распределены в полном объеме. </w:t>
      </w:r>
    </w:p>
    <w:p w14:paraId="4FC42D86" w14:textId="2A4DA029" w:rsidR="003B6FD4" w:rsidRPr="00E3487E" w:rsidRDefault="003B6FD4" w:rsidP="00E34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3487E">
        <w:rPr>
          <w:rFonts w:ascii="Times New Roman" w:eastAsia="Calibri" w:hAnsi="Times New Roman" w:cs="Times New Roman"/>
          <w:sz w:val="24"/>
          <w:szCs w:val="28"/>
        </w:rPr>
        <w:t>Администрацией города Иванов</w:t>
      </w:r>
      <w:r w:rsidR="00E3487E">
        <w:rPr>
          <w:rFonts w:ascii="Times New Roman" w:eastAsia="Calibri" w:hAnsi="Times New Roman" w:cs="Times New Roman"/>
          <w:sz w:val="24"/>
          <w:szCs w:val="28"/>
        </w:rPr>
        <w:t xml:space="preserve">а реализуется ряд инструментов                                   </w:t>
      </w:r>
      <w:r w:rsidRPr="00E3487E">
        <w:rPr>
          <w:rFonts w:ascii="Times New Roman" w:eastAsia="Calibri" w:hAnsi="Times New Roman" w:cs="Times New Roman"/>
          <w:sz w:val="24"/>
          <w:szCs w:val="28"/>
        </w:rPr>
        <w:t xml:space="preserve">для информирования СМСП о существующих мерах поддержки. Так, функционирует официальный сайт информационной поддержки субъектов малого и среднего предпринимательства, где размещена информация по всем видам поддержки малого </w:t>
      </w:r>
      <w:r w:rsidR="00E3487E">
        <w:rPr>
          <w:rFonts w:ascii="Times New Roman" w:eastAsia="Calibri" w:hAnsi="Times New Roman" w:cs="Times New Roman"/>
          <w:sz w:val="24"/>
          <w:szCs w:val="28"/>
        </w:rPr>
        <w:t xml:space="preserve">               </w:t>
      </w:r>
      <w:r w:rsidRPr="00E3487E">
        <w:rPr>
          <w:rFonts w:ascii="Times New Roman" w:eastAsia="Calibri" w:hAnsi="Times New Roman" w:cs="Times New Roman"/>
          <w:sz w:val="24"/>
          <w:szCs w:val="28"/>
        </w:rPr>
        <w:t xml:space="preserve">и среднего бизнеса, а также существует форма обратной связи для оперативного получения ответов на интересующие вопросы. </w:t>
      </w:r>
    </w:p>
    <w:p w14:paraId="34134ABE" w14:textId="23CE1DE9" w:rsidR="003B6FD4" w:rsidRPr="00E3487E" w:rsidRDefault="003B6FD4" w:rsidP="00E34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3487E">
        <w:rPr>
          <w:rFonts w:ascii="Times New Roman" w:eastAsia="Calibri" w:hAnsi="Times New Roman" w:cs="Times New Roman"/>
          <w:sz w:val="24"/>
          <w:szCs w:val="28"/>
        </w:rPr>
        <w:t>В р</w:t>
      </w:r>
      <w:r w:rsidR="00E3487E">
        <w:rPr>
          <w:rFonts w:ascii="Times New Roman" w:eastAsia="Calibri" w:hAnsi="Times New Roman" w:cs="Times New Roman"/>
          <w:sz w:val="24"/>
          <w:szCs w:val="28"/>
        </w:rPr>
        <w:t>амках проекта Минэкономразвития</w:t>
      </w:r>
      <w:r w:rsidRPr="00E3487E">
        <w:rPr>
          <w:rFonts w:ascii="Times New Roman" w:eastAsia="Calibri" w:hAnsi="Times New Roman" w:cs="Times New Roman"/>
          <w:sz w:val="24"/>
          <w:szCs w:val="28"/>
        </w:rPr>
        <w:t xml:space="preserve"> работа по информированию СМСП </w:t>
      </w:r>
      <w:r w:rsidR="00E3487E">
        <w:rPr>
          <w:rFonts w:ascii="Times New Roman" w:eastAsia="Calibri" w:hAnsi="Times New Roman" w:cs="Times New Roman"/>
          <w:sz w:val="24"/>
          <w:szCs w:val="28"/>
        </w:rPr>
        <w:t xml:space="preserve">                      </w:t>
      </w:r>
      <w:r w:rsidRPr="00E3487E">
        <w:rPr>
          <w:rFonts w:ascii="Times New Roman" w:eastAsia="Calibri" w:hAnsi="Times New Roman" w:cs="Times New Roman"/>
          <w:sz w:val="24"/>
          <w:szCs w:val="28"/>
        </w:rPr>
        <w:t>в Иванове о существующих мерах поддержки осуществляется также в рамках института бизнес-гидов. За период действия проекта «очными» консультациями встречами, семинарами, выездами, рассылкой информационных материалов были охвачены более</w:t>
      </w:r>
      <w:r w:rsidR="00E3487E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E3487E">
        <w:rPr>
          <w:rFonts w:ascii="Times New Roman" w:eastAsia="Calibri" w:hAnsi="Times New Roman" w:cs="Times New Roman"/>
          <w:sz w:val="24"/>
          <w:szCs w:val="28"/>
        </w:rPr>
        <w:t xml:space="preserve"> 350 субъектов малого бизнеса.</w:t>
      </w:r>
    </w:p>
    <w:p w14:paraId="6327256D" w14:textId="355E2B78" w:rsidR="003B6FD4" w:rsidRPr="00E3487E" w:rsidRDefault="003B6FD4" w:rsidP="00E34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3487E">
        <w:rPr>
          <w:rFonts w:ascii="Times New Roman" w:eastAsia="Calibri" w:hAnsi="Times New Roman" w:cs="Times New Roman"/>
          <w:sz w:val="24"/>
          <w:szCs w:val="28"/>
        </w:rPr>
        <w:t xml:space="preserve">В рамках подпрограммы </w:t>
      </w:r>
      <w:r w:rsidRPr="00E3487E">
        <w:rPr>
          <w:rFonts w:ascii="Times New Roman" w:hAnsi="Times New Roman" w:cs="Times New Roman"/>
          <w:sz w:val="24"/>
          <w:szCs w:val="28"/>
        </w:rPr>
        <w:t>«Имуществен</w:t>
      </w:r>
      <w:r w:rsidR="00E3487E">
        <w:rPr>
          <w:rFonts w:ascii="Times New Roman" w:hAnsi="Times New Roman" w:cs="Times New Roman"/>
          <w:sz w:val="24"/>
          <w:szCs w:val="28"/>
        </w:rPr>
        <w:t xml:space="preserve">ная поддержка субъектов малого </w:t>
      </w:r>
      <w:r w:rsidRPr="00E3487E">
        <w:rPr>
          <w:rFonts w:ascii="Times New Roman" w:hAnsi="Times New Roman" w:cs="Times New Roman"/>
          <w:sz w:val="24"/>
          <w:szCs w:val="28"/>
        </w:rPr>
        <w:t xml:space="preserve">и среднего предпринимательства» принято постановление Главы города Иванова от 30.06.2008 </w:t>
      </w:r>
      <w:r w:rsidR="00E3487E">
        <w:rPr>
          <w:rFonts w:ascii="Times New Roman" w:hAnsi="Times New Roman" w:cs="Times New Roman"/>
          <w:sz w:val="24"/>
          <w:szCs w:val="28"/>
        </w:rPr>
        <w:t xml:space="preserve">              </w:t>
      </w:r>
      <w:r w:rsidRPr="00E3487E">
        <w:rPr>
          <w:rFonts w:ascii="Times New Roman" w:hAnsi="Times New Roman" w:cs="Times New Roman"/>
          <w:sz w:val="24"/>
          <w:szCs w:val="28"/>
        </w:rPr>
        <w:t xml:space="preserve">№ 2002 «Об утверждении перечня имущества города Иванова,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 Указанный перечень в 2019 году </w:t>
      </w:r>
      <w:r w:rsidRPr="00E3487E">
        <w:rPr>
          <w:rFonts w:ascii="Times New Roman" w:hAnsi="Times New Roman"/>
          <w:sz w:val="24"/>
          <w:szCs w:val="28"/>
        </w:rPr>
        <w:t xml:space="preserve">содержит 12 объектов и ежегодно дополняется. </w:t>
      </w:r>
    </w:p>
    <w:p w14:paraId="576CD8BA" w14:textId="77777777" w:rsidR="00E3487E" w:rsidRPr="00E3487E" w:rsidRDefault="00E3487E" w:rsidP="00975DE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</w:p>
    <w:p w14:paraId="26DE01EB" w14:textId="77777777" w:rsidR="003B6FD4" w:rsidRPr="002736F6" w:rsidRDefault="003B6FD4" w:rsidP="003B6F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736F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Структура финансирования подпрограммы </w:t>
      </w:r>
    </w:p>
    <w:p w14:paraId="2DFC6239" w14:textId="0D78F062" w:rsidR="003B6FD4" w:rsidRPr="002736F6" w:rsidRDefault="003B6FD4" w:rsidP="003B6F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736F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«Финансовая поддержка субъектов малого и среднего предпринимательства»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2736F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в 201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8</w:t>
      </w:r>
      <w:r w:rsidRPr="002736F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-201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9</w:t>
      </w:r>
      <w:r w:rsidRPr="002736F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гг., млн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2736F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руб.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муниципальной программы «Развитие субъектов малого и среднего предпринимательства в городе Иванове»</w:t>
      </w:r>
    </w:p>
    <w:p w14:paraId="4650F3FB" w14:textId="77777777" w:rsidR="003B6FD4" w:rsidRPr="002736F6" w:rsidRDefault="003B6FD4" w:rsidP="003B6F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654E">
        <w:rPr>
          <w:noProof/>
          <w:sz w:val="28"/>
          <w:szCs w:val="28"/>
          <w:lang w:eastAsia="ru-RU"/>
        </w:rPr>
        <w:drawing>
          <wp:inline distT="0" distB="0" distL="0" distR="0" wp14:anchorId="32108D80" wp14:editId="4011398C">
            <wp:extent cx="2040941" cy="1741018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FA1C02" w:rsidRPr="0020654E">
        <w:rPr>
          <w:noProof/>
          <w:sz w:val="28"/>
          <w:szCs w:val="28"/>
          <w:lang w:eastAsia="ru-RU"/>
        </w:rPr>
        <w:drawing>
          <wp:inline distT="0" distB="0" distL="0" distR="0" wp14:anchorId="6FD985B9" wp14:editId="06EC108F">
            <wp:extent cx="2099462" cy="1726388"/>
            <wp:effectExtent l="0" t="0" r="0" b="762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AACC4C5" w14:textId="77777777" w:rsidR="003B6FD4" w:rsidRPr="002736F6" w:rsidRDefault="00FA1C02" w:rsidP="003B6F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654E">
        <w:rPr>
          <w:noProof/>
          <w:sz w:val="28"/>
          <w:szCs w:val="28"/>
          <w:lang w:eastAsia="ru-RU"/>
        </w:rPr>
        <w:drawing>
          <wp:inline distT="0" distB="0" distL="0" distR="0" wp14:anchorId="2943E54A" wp14:editId="53DCFE14">
            <wp:extent cx="5943600" cy="1676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1057236" w14:textId="687482AE" w:rsidR="00FA1C02" w:rsidRPr="00E3487E" w:rsidRDefault="003B6FD4" w:rsidP="00FA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87E">
        <w:rPr>
          <w:rFonts w:ascii="Times New Roman" w:hAnsi="Times New Roman" w:cs="Times New Roman"/>
          <w:sz w:val="24"/>
          <w:szCs w:val="24"/>
        </w:rPr>
        <w:t>Кроме того, финансовая поддержка СМСП предусмо</w:t>
      </w:r>
      <w:r w:rsidR="00FA1C02" w:rsidRPr="00E3487E">
        <w:rPr>
          <w:rFonts w:ascii="Times New Roman" w:hAnsi="Times New Roman" w:cs="Times New Roman"/>
          <w:sz w:val="24"/>
          <w:szCs w:val="24"/>
        </w:rPr>
        <w:t>т</w:t>
      </w:r>
      <w:r w:rsidRPr="00E3487E">
        <w:rPr>
          <w:rFonts w:ascii="Times New Roman" w:hAnsi="Times New Roman" w:cs="Times New Roman"/>
          <w:sz w:val="24"/>
          <w:szCs w:val="24"/>
        </w:rPr>
        <w:t>рена в рамках муниципальной программы «Развит</w:t>
      </w:r>
      <w:r w:rsidR="00E3487E">
        <w:rPr>
          <w:rFonts w:ascii="Times New Roman" w:hAnsi="Times New Roman" w:cs="Times New Roman"/>
          <w:sz w:val="24"/>
          <w:szCs w:val="24"/>
        </w:rPr>
        <w:t xml:space="preserve">ие инвестиционной деятельности </w:t>
      </w:r>
      <w:r w:rsidRPr="00E3487E">
        <w:rPr>
          <w:rFonts w:ascii="Times New Roman" w:hAnsi="Times New Roman" w:cs="Times New Roman"/>
          <w:sz w:val="24"/>
          <w:szCs w:val="24"/>
        </w:rPr>
        <w:t>и инновац</w:t>
      </w:r>
      <w:r w:rsidR="00DF2AC8" w:rsidRPr="00E3487E">
        <w:rPr>
          <w:rFonts w:ascii="Times New Roman" w:hAnsi="Times New Roman" w:cs="Times New Roman"/>
          <w:sz w:val="24"/>
          <w:szCs w:val="24"/>
        </w:rPr>
        <w:t>ионной сферы в городе Иванове» –</w:t>
      </w:r>
      <w:r w:rsidRPr="00E3487E">
        <w:rPr>
          <w:rFonts w:ascii="Times New Roman" w:hAnsi="Times New Roman" w:cs="Times New Roman"/>
          <w:sz w:val="24"/>
          <w:szCs w:val="24"/>
        </w:rPr>
        <w:t xml:space="preserve"> начиная с 2018 года, </w:t>
      </w:r>
      <w:r w:rsidR="00FA1C02" w:rsidRPr="00E3487E">
        <w:rPr>
          <w:rFonts w:ascii="Times New Roman" w:hAnsi="Times New Roman" w:cs="Times New Roman"/>
          <w:sz w:val="24"/>
          <w:szCs w:val="24"/>
        </w:rPr>
        <w:t xml:space="preserve">предоставляется субсидия </w:t>
      </w:r>
      <w:r w:rsidR="00E3487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A1C02" w:rsidRPr="00E3487E">
        <w:rPr>
          <w:rFonts w:ascii="Times New Roman" w:hAnsi="Times New Roman" w:cs="Times New Roman"/>
          <w:sz w:val="24"/>
          <w:szCs w:val="24"/>
        </w:rPr>
        <w:t xml:space="preserve">для возмещения понесенных затрат на научные разработки (затрат, связанных с оплатой услуг по </w:t>
      </w:r>
      <w:r w:rsidRPr="00E3487E">
        <w:rPr>
          <w:rFonts w:ascii="Times New Roman" w:hAnsi="Times New Roman" w:cs="Times New Roman"/>
          <w:sz w:val="24"/>
          <w:szCs w:val="24"/>
        </w:rPr>
        <w:t>сертификации вновь созданной продукции (работ, услуг), на проведение опытно-конструкторских и опытно-технологических работ с привлечением научных организаций, на государственную регистрацию изобретений, полезных моделей, промышленных образцов, программ для ЭВМ, баз данных, топологий интегральных схем, товарных знаков и знаков обслуживания, наименований мест происхождения товаров, патентов, поддержание в силе патентов на территории Российской Федерации</w:t>
      </w:r>
      <w:r w:rsidR="00FA1C02" w:rsidRPr="00E3487E">
        <w:rPr>
          <w:rFonts w:ascii="Times New Roman" w:hAnsi="Times New Roman" w:cs="Times New Roman"/>
          <w:sz w:val="24"/>
          <w:szCs w:val="24"/>
        </w:rPr>
        <w:t xml:space="preserve"> (далее – Субсидия) (до 2018 года в рамках указанной программы предоставлялись гранты организациям, осуществляющим научные разработки).</w:t>
      </w:r>
    </w:p>
    <w:p w14:paraId="08FB67C0" w14:textId="49473C2E" w:rsidR="003B6FD4" w:rsidRPr="00E3487E" w:rsidRDefault="003B6FD4" w:rsidP="003B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87E">
        <w:rPr>
          <w:rFonts w:ascii="Times New Roman" w:hAnsi="Times New Roman" w:cs="Times New Roman"/>
          <w:sz w:val="24"/>
          <w:szCs w:val="24"/>
        </w:rPr>
        <w:t>В 2018 году из бюджета города был</w:t>
      </w:r>
      <w:r w:rsidR="00E3487E">
        <w:rPr>
          <w:rFonts w:ascii="Times New Roman" w:hAnsi="Times New Roman" w:cs="Times New Roman"/>
          <w:sz w:val="24"/>
          <w:szCs w:val="24"/>
        </w:rPr>
        <w:t xml:space="preserve">а оказана финансовая поддержка                                 </w:t>
      </w:r>
      <w:r w:rsidRPr="00E3487E">
        <w:rPr>
          <w:rFonts w:ascii="Times New Roman" w:hAnsi="Times New Roman" w:cs="Times New Roman"/>
          <w:sz w:val="24"/>
          <w:szCs w:val="24"/>
        </w:rPr>
        <w:t>по предоставлению субсидий 5 инн</w:t>
      </w:r>
      <w:r w:rsidR="00E3487E">
        <w:rPr>
          <w:rFonts w:ascii="Times New Roman" w:hAnsi="Times New Roman" w:cs="Times New Roman"/>
          <w:sz w:val="24"/>
          <w:szCs w:val="24"/>
        </w:rPr>
        <w:t xml:space="preserve">овационным предприятиям города </w:t>
      </w:r>
      <w:r w:rsidRPr="00E3487E">
        <w:rPr>
          <w:rFonts w:ascii="Times New Roman" w:hAnsi="Times New Roman" w:cs="Times New Roman"/>
          <w:sz w:val="24"/>
          <w:szCs w:val="24"/>
        </w:rPr>
        <w:t xml:space="preserve">на общую сумму </w:t>
      </w:r>
      <w:r w:rsidR="00E3487E">
        <w:rPr>
          <w:rFonts w:ascii="Times New Roman" w:hAnsi="Times New Roman" w:cs="Times New Roman"/>
          <w:sz w:val="24"/>
          <w:szCs w:val="24"/>
        </w:rPr>
        <w:t xml:space="preserve"> </w:t>
      </w:r>
      <w:r w:rsidRPr="00E3487E">
        <w:rPr>
          <w:rFonts w:ascii="Times New Roman" w:hAnsi="Times New Roman" w:cs="Times New Roman"/>
          <w:sz w:val="24"/>
          <w:szCs w:val="24"/>
        </w:rPr>
        <w:t xml:space="preserve">1,0 млн руб. </w:t>
      </w:r>
    </w:p>
    <w:p w14:paraId="2FC7D3F8" w14:textId="4CDC9BC8" w:rsidR="003B6FD4" w:rsidRPr="00E3487E" w:rsidRDefault="003B6FD4" w:rsidP="006E4FD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87E">
        <w:rPr>
          <w:rFonts w:ascii="Times New Roman" w:hAnsi="Times New Roman"/>
          <w:sz w:val="24"/>
          <w:szCs w:val="24"/>
        </w:rPr>
        <w:t xml:space="preserve">За истекший период текущего года поддержка по </w:t>
      </w:r>
      <w:r w:rsidRPr="00E3487E">
        <w:rPr>
          <w:rFonts w:ascii="Times New Roman" w:hAnsi="Times New Roman" w:cs="Times New Roman"/>
          <w:sz w:val="24"/>
          <w:szCs w:val="24"/>
        </w:rPr>
        <w:t>возмещению понесенных затрат, связанных с оплатой услуг по сертификации вновь созданной продукции (работ, услуг)</w:t>
      </w:r>
      <w:r w:rsidR="001B18D9" w:rsidRPr="00E3487E">
        <w:rPr>
          <w:rFonts w:ascii="Times New Roman" w:hAnsi="Times New Roman" w:cs="Times New Roman"/>
          <w:sz w:val="24"/>
          <w:szCs w:val="24"/>
        </w:rPr>
        <w:t>,</w:t>
      </w:r>
      <w:r w:rsidR="006958A8" w:rsidRPr="00E3487E">
        <w:rPr>
          <w:rFonts w:ascii="Times New Roman" w:hAnsi="Times New Roman" w:cs="Times New Roman"/>
          <w:sz w:val="24"/>
          <w:szCs w:val="24"/>
        </w:rPr>
        <w:t xml:space="preserve"> </w:t>
      </w:r>
      <w:r w:rsidR="00E3487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58A8" w:rsidRPr="00E3487E">
        <w:rPr>
          <w:rFonts w:ascii="Times New Roman" w:hAnsi="Times New Roman" w:cs="Times New Roman"/>
          <w:sz w:val="24"/>
          <w:szCs w:val="24"/>
        </w:rPr>
        <w:t>и на государственную регистрацию программ для ЭВМ</w:t>
      </w:r>
      <w:r w:rsidRPr="00E3487E">
        <w:rPr>
          <w:rFonts w:ascii="Times New Roman" w:hAnsi="Times New Roman" w:cs="Times New Roman"/>
          <w:sz w:val="24"/>
          <w:szCs w:val="24"/>
        </w:rPr>
        <w:t xml:space="preserve"> </w:t>
      </w:r>
      <w:r w:rsidR="00E3487E">
        <w:rPr>
          <w:rFonts w:ascii="Times New Roman" w:hAnsi="Times New Roman"/>
          <w:sz w:val="24"/>
          <w:szCs w:val="24"/>
        </w:rPr>
        <w:t xml:space="preserve">оказана </w:t>
      </w:r>
      <w:r w:rsidR="006958A8" w:rsidRPr="00E3487E">
        <w:rPr>
          <w:rFonts w:ascii="Times New Roman" w:hAnsi="Times New Roman"/>
          <w:sz w:val="24"/>
          <w:szCs w:val="24"/>
        </w:rPr>
        <w:t>трем хозяйствующим субъектам</w:t>
      </w:r>
      <w:r w:rsidRPr="00E3487E">
        <w:rPr>
          <w:rFonts w:ascii="Times New Roman" w:hAnsi="Times New Roman"/>
          <w:sz w:val="24"/>
          <w:szCs w:val="24"/>
        </w:rPr>
        <w:t xml:space="preserve"> на общую сумму </w:t>
      </w:r>
      <w:r w:rsidR="006958A8" w:rsidRPr="00E3487E">
        <w:rPr>
          <w:rFonts w:ascii="Times New Roman" w:hAnsi="Times New Roman"/>
          <w:sz w:val="24"/>
          <w:szCs w:val="24"/>
        </w:rPr>
        <w:t>386,9</w:t>
      </w:r>
      <w:r w:rsidRPr="00E3487E">
        <w:rPr>
          <w:rFonts w:ascii="Times New Roman" w:hAnsi="Times New Roman"/>
          <w:sz w:val="24"/>
          <w:szCs w:val="24"/>
        </w:rPr>
        <w:t xml:space="preserve"> тыс. руб. </w:t>
      </w:r>
      <w:r w:rsidRPr="00E3487E">
        <w:rPr>
          <w:rFonts w:ascii="Times New Roman" w:hAnsi="Times New Roman" w:cs="Times New Roman"/>
          <w:sz w:val="24"/>
          <w:szCs w:val="24"/>
        </w:rPr>
        <w:t xml:space="preserve">Плановый объем финансирования на 2019 год по данной </w:t>
      </w:r>
      <w:r w:rsidR="006958A8" w:rsidRPr="00E3487E">
        <w:rPr>
          <w:rFonts w:ascii="Times New Roman" w:hAnsi="Times New Roman" w:cs="Times New Roman"/>
          <w:sz w:val="24"/>
          <w:szCs w:val="24"/>
        </w:rPr>
        <w:t>субсидии составляет</w:t>
      </w:r>
      <w:r w:rsidR="006E4FD1" w:rsidRPr="00E3487E">
        <w:rPr>
          <w:rFonts w:ascii="Times New Roman" w:hAnsi="Times New Roman" w:cs="Times New Roman"/>
          <w:sz w:val="24"/>
          <w:szCs w:val="24"/>
        </w:rPr>
        <w:t xml:space="preserve"> </w:t>
      </w:r>
      <w:r w:rsidR="006958A8" w:rsidRPr="00E3487E">
        <w:rPr>
          <w:rFonts w:ascii="Times New Roman" w:hAnsi="Times New Roman" w:cs="Times New Roman"/>
          <w:sz w:val="24"/>
          <w:szCs w:val="24"/>
        </w:rPr>
        <w:t>1 млн руб.</w:t>
      </w:r>
      <w:r w:rsidRPr="00E3487E">
        <w:rPr>
          <w:rFonts w:ascii="Times New Roman" w:hAnsi="Times New Roman"/>
          <w:sz w:val="24"/>
          <w:szCs w:val="24"/>
        </w:rPr>
        <w:t xml:space="preserve"> </w:t>
      </w:r>
    </w:p>
    <w:p w14:paraId="028EF99A" w14:textId="77777777" w:rsidR="00DE7866" w:rsidRPr="00E3487E" w:rsidRDefault="00DE7866" w:rsidP="003B6F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DBCE23" w14:textId="77777777" w:rsidR="003B6FD4" w:rsidRPr="00E3487E" w:rsidRDefault="003B6FD4" w:rsidP="00E3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487E">
        <w:rPr>
          <w:rFonts w:ascii="Times New Roman" w:eastAsia="Times New Roman" w:hAnsi="Times New Roman" w:cs="Times New Roman"/>
          <w:b/>
          <w:i/>
          <w:sz w:val="24"/>
          <w:szCs w:val="24"/>
        </w:rPr>
        <w:t>Налоговые льготы</w:t>
      </w:r>
    </w:p>
    <w:p w14:paraId="778004BB" w14:textId="77777777" w:rsidR="003B6FD4" w:rsidRDefault="003B6FD4" w:rsidP="003B6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B81845" w14:textId="77777777" w:rsidR="00975DEE" w:rsidRPr="00975DEE" w:rsidRDefault="00975DEE" w:rsidP="003B6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02FFF" w14:textId="0087C10C" w:rsidR="00975DEE" w:rsidRPr="00E3487E" w:rsidRDefault="003B6FD4" w:rsidP="00975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487E">
        <w:rPr>
          <w:rFonts w:ascii="Times New Roman" w:hAnsi="Times New Roman"/>
          <w:sz w:val="24"/>
          <w:szCs w:val="24"/>
        </w:rPr>
        <w:t>В целях поддержки, упорядочения и стимулирования развития отдельных видов предпринимательской деятельности на территории города Иванова действует</w:t>
      </w:r>
      <w:r w:rsidR="00975DEE">
        <w:rPr>
          <w:rFonts w:ascii="Times New Roman" w:hAnsi="Times New Roman"/>
          <w:sz w:val="24"/>
          <w:szCs w:val="24"/>
        </w:rPr>
        <w:t xml:space="preserve"> </w:t>
      </w:r>
      <w:r w:rsidR="00975DEE" w:rsidRPr="00E3487E">
        <w:rPr>
          <w:rFonts w:ascii="Times New Roman" w:hAnsi="Times New Roman"/>
          <w:sz w:val="24"/>
          <w:szCs w:val="24"/>
        </w:rPr>
        <w:lastRenderedPageBreak/>
        <w:t>специальный налоговый режим в виде единого налога на вмененный доход</w:t>
      </w:r>
      <w:r w:rsidR="00975DEE" w:rsidRPr="00E3487E">
        <w:rPr>
          <w:rFonts w:ascii="Times New Roman" w:hAnsi="Times New Roman"/>
          <w:sz w:val="24"/>
          <w:szCs w:val="24"/>
          <w:vertAlign w:val="superscript"/>
        </w:rPr>
        <w:footnoteReference w:id="3"/>
      </w:r>
      <w:r w:rsidR="00975DEE" w:rsidRPr="00E3487E">
        <w:rPr>
          <w:rFonts w:ascii="Times New Roman" w:hAnsi="Times New Roman"/>
          <w:sz w:val="24"/>
          <w:szCs w:val="24"/>
        </w:rPr>
        <w:t xml:space="preserve"> (далее –ЕНВД). </w:t>
      </w:r>
    </w:p>
    <w:p w14:paraId="5FC22027" w14:textId="46513726" w:rsidR="003B6FD4" w:rsidRPr="00E3487E" w:rsidRDefault="003B6FD4" w:rsidP="003B6F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487E">
        <w:rPr>
          <w:rFonts w:ascii="Times New Roman" w:hAnsi="Times New Roman"/>
          <w:sz w:val="24"/>
          <w:szCs w:val="24"/>
        </w:rPr>
        <w:t xml:space="preserve">Для исчисления ЕНВД применяется корректирующий коэффициент базовой доходности К2. С целью исключения возрастания налоговой нагрузки </w:t>
      </w:r>
      <w:r w:rsidRPr="00E3487E">
        <w:rPr>
          <w:rFonts w:ascii="Times New Roman" w:hAnsi="Times New Roman"/>
          <w:sz w:val="24"/>
          <w:szCs w:val="24"/>
        </w:rPr>
        <w:br/>
        <w:t xml:space="preserve">на субъекты малого и среднего предпринимательства в городском округе Иваново </w:t>
      </w:r>
      <w:r w:rsidR="00E3487E">
        <w:rPr>
          <w:rFonts w:ascii="Times New Roman" w:hAnsi="Times New Roman"/>
          <w:sz w:val="24"/>
          <w:szCs w:val="24"/>
        </w:rPr>
        <w:t xml:space="preserve">                 </w:t>
      </w:r>
      <w:r w:rsidRPr="00E3487E">
        <w:rPr>
          <w:rFonts w:ascii="Times New Roman" w:hAnsi="Times New Roman"/>
          <w:sz w:val="24"/>
          <w:szCs w:val="24"/>
        </w:rPr>
        <w:t>по настоящее время при исчислении данного налога значение корректирующего коэффициента К2 сохранено на уровне 2008 года.</w:t>
      </w:r>
    </w:p>
    <w:p w14:paraId="35585022" w14:textId="2670DF73" w:rsidR="003B6FD4" w:rsidRPr="00E3487E" w:rsidRDefault="003B6FD4" w:rsidP="003B6F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487E">
        <w:rPr>
          <w:rFonts w:ascii="Times New Roman" w:hAnsi="Times New Roman"/>
          <w:sz w:val="24"/>
          <w:szCs w:val="24"/>
        </w:rPr>
        <w:t xml:space="preserve">В соответствии с главой 26.5 Налогового кодекса Российской Федерации </w:t>
      </w:r>
      <w:r w:rsidRPr="00E3487E">
        <w:rPr>
          <w:rFonts w:ascii="Times New Roman" w:hAnsi="Times New Roman"/>
          <w:sz w:val="24"/>
          <w:szCs w:val="24"/>
        </w:rPr>
        <w:br/>
        <w:t>и Законом Ивановской области от 29.11.2012 № 99-ОЗ «О введении патентной системы налогообложения на территории Ивановской области» действует патентная система налогообложения (далее – ПСН). ПСН относится</w:t>
      </w:r>
      <w:r w:rsidR="00DF2AC8" w:rsidRPr="00E3487E">
        <w:rPr>
          <w:rFonts w:ascii="Times New Roman" w:hAnsi="Times New Roman"/>
          <w:sz w:val="24"/>
          <w:szCs w:val="24"/>
        </w:rPr>
        <w:t xml:space="preserve"> </w:t>
      </w:r>
      <w:r w:rsidRPr="00E3487E">
        <w:rPr>
          <w:rFonts w:ascii="Times New Roman" w:hAnsi="Times New Roman"/>
          <w:sz w:val="24"/>
          <w:szCs w:val="24"/>
        </w:rPr>
        <w:t xml:space="preserve">к специальным налоговым режимам, цель которых – создание более простых условий налогообложения </w:t>
      </w:r>
      <w:r w:rsidR="00DF2AC8" w:rsidRPr="00E3487E">
        <w:rPr>
          <w:rFonts w:ascii="Times New Roman" w:hAnsi="Times New Roman"/>
          <w:sz w:val="24"/>
          <w:szCs w:val="24"/>
        </w:rPr>
        <w:br/>
      </w:r>
      <w:r w:rsidRPr="00E3487E">
        <w:rPr>
          <w:rFonts w:ascii="Times New Roman" w:hAnsi="Times New Roman"/>
          <w:sz w:val="24"/>
          <w:szCs w:val="24"/>
        </w:rPr>
        <w:t>для определенных категорий налогоплательщиков.</w:t>
      </w:r>
    </w:p>
    <w:p w14:paraId="18070BA2" w14:textId="77777777" w:rsidR="003B6FD4" w:rsidRPr="00E3487E" w:rsidRDefault="003B6FD4" w:rsidP="003B6F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487E">
        <w:rPr>
          <w:rFonts w:ascii="Times New Roman" w:hAnsi="Times New Roman"/>
          <w:sz w:val="24"/>
          <w:szCs w:val="24"/>
        </w:rPr>
        <w:t xml:space="preserve">В 2018 году доходы от патентной системы налогообложения возросли </w:t>
      </w:r>
      <w:r w:rsidRPr="00E3487E">
        <w:rPr>
          <w:rFonts w:ascii="Times New Roman" w:hAnsi="Times New Roman"/>
          <w:sz w:val="24"/>
          <w:szCs w:val="24"/>
        </w:rPr>
        <w:br/>
        <w:t xml:space="preserve">на 4% и составили 49,2 млн руб. (в 2017 году – 47,2 млн руб.). </w:t>
      </w:r>
    </w:p>
    <w:p w14:paraId="3E2A9092" w14:textId="77777777" w:rsidR="00C32C55" w:rsidRPr="00E3487E" w:rsidRDefault="00C32C55" w:rsidP="00E34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4944" w:type="pct"/>
        <w:tblLayout w:type="fixed"/>
        <w:tblLook w:val="04A0" w:firstRow="1" w:lastRow="0" w:firstColumn="1" w:lastColumn="0" w:noHBand="0" w:noVBand="1"/>
      </w:tblPr>
      <w:tblGrid>
        <w:gridCol w:w="548"/>
        <w:gridCol w:w="4104"/>
        <w:gridCol w:w="937"/>
        <w:gridCol w:w="1071"/>
        <w:gridCol w:w="1102"/>
        <w:gridCol w:w="1702"/>
      </w:tblGrid>
      <w:tr w:rsidR="003B6FD4" w:rsidRPr="00E3487E" w14:paraId="5368309F" w14:textId="77777777" w:rsidTr="00E3487E">
        <w:tc>
          <w:tcPr>
            <w:tcW w:w="290" w:type="pct"/>
            <w:vAlign w:val="center"/>
          </w:tcPr>
          <w:p w14:paraId="01F9081C" w14:textId="77777777" w:rsidR="003B6FD4" w:rsidRPr="00E3487E" w:rsidRDefault="003B6FD4" w:rsidP="00E3487E">
            <w:pPr>
              <w:jc w:val="center"/>
              <w:rPr>
                <w:szCs w:val="24"/>
              </w:rPr>
            </w:pPr>
            <w:r w:rsidRPr="00E3487E">
              <w:rPr>
                <w:szCs w:val="24"/>
              </w:rPr>
              <w:t>№ п/п</w:t>
            </w:r>
          </w:p>
        </w:tc>
        <w:tc>
          <w:tcPr>
            <w:tcW w:w="2168" w:type="pct"/>
            <w:vAlign w:val="center"/>
          </w:tcPr>
          <w:p w14:paraId="49B8D032" w14:textId="77777777" w:rsidR="003B6FD4" w:rsidRPr="00E3487E" w:rsidRDefault="003B6FD4" w:rsidP="00E3487E">
            <w:pPr>
              <w:jc w:val="center"/>
              <w:rPr>
                <w:szCs w:val="24"/>
              </w:rPr>
            </w:pPr>
            <w:r w:rsidRPr="00E3487E">
              <w:rPr>
                <w:szCs w:val="24"/>
              </w:rPr>
              <w:t>Показатель</w:t>
            </w:r>
          </w:p>
        </w:tc>
        <w:tc>
          <w:tcPr>
            <w:tcW w:w="495" w:type="pct"/>
            <w:vAlign w:val="center"/>
          </w:tcPr>
          <w:p w14:paraId="5217E695" w14:textId="77777777" w:rsidR="003B6FD4" w:rsidRPr="00E3487E" w:rsidRDefault="003B6FD4" w:rsidP="00E3487E">
            <w:pPr>
              <w:jc w:val="center"/>
              <w:rPr>
                <w:szCs w:val="24"/>
              </w:rPr>
            </w:pPr>
            <w:r w:rsidRPr="00E3487E">
              <w:rPr>
                <w:szCs w:val="24"/>
              </w:rPr>
              <w:t>Ед. изм.</w:t>
            </w:r>
          </w:p>
        </w:tc>
        <w:tc>
          <w:tcPr>
            <w:tcW w:w="566" w:type="pct"/>
            <w:vAlign w:val="center"/>
          </w:tcPr>
          <w:p w14:paraId="79F5B97E" w14:textId="34BD916F" w:rsidR="003B6FD4" w:rsidRPr="00E3487E" w:rsidRDefault="003B6FD4" w:rsidP="00E3487E">
            <w:pPr>
              <w:jc w:val="center"/>
              <w:rPr>
                <w:szCs w:val="24"/>
              </w:rPr>
            </w:pPr>
            <w:r w:rsidRPr="00E3487E">
              <w:rPr>
                <w:szCs w:val="24"/>
              </w:rPr>
              <w:t>2017 г.</w:t>
            </w:r>
          </w:p>
        </w:tc>
        <w:tc>
          <w:tcPr>
            <w:tcW w:w="582" w:type="pct"/>
            <w:vAlign w:val="center"/>
          </w:tcPr>
          <w:p w14:paraId="62DA0F08" w14:textId="77777777" w:rsidR="003B6FD4" w:rsidRPr="00E3487E" w:rsidRDefault="003B6FD4" w:rsidP="00E3487E">
            <w:pPr>
              <w:jc w:val="center"/>
              <w:rPr>
                <w:szCs w:val="24"/>
              </w:rPr>
            </w:pPr>
            <w:r w:rsidRPr="00E3487E">
              <w:rPr>
                <w:szCs w:val="24"/>
              </w:rPr>
              <w:t>2018 г.</w:t>
            </w:r>
          </w:p>
        </w:tc>
        <w:tc>
          <w:tcPr>
            <w:tcW w:w="899" w:type="pct"/>
            <w:vAlign w:val="center"/>
          </w:tcPr>
          <w:p w14:paraId="627F9446" w14:textId="77777777" w:rsidR="003B6FD4" w:rsidRPr="00E3487E" w:rsidRDefault="003B6FD4" w:rsidP="00E3487E">
            <w:pPr>
              <w:jc w:val="center"/>
              <w:rPr>
                <w:szCs w:val="24"/>
              </w:rPr>
            </w:pPr>
            <w:r w:rsidRPr="00E3487E">
              <w:rPr>
                <w:szCs w:val="24"/>
              </w:rPr>
              <w:t>На 01.10.2019</w:t>
            </w:r>
          </w:p>
        </w:tc>
      </w:tr>
      <w:tr w:rsidR="003B6FD4" w:rsidRPr="00E3487E" w14:paraId="11DB1806" w14:textId="77777777" w:rsidTr="00E3487E">
        <w:tc>
          <w:tcPr>
            <w:tcW w:w="290" w:type="pct"/>
          </w:tcPr>
          <w:p w14:paraId="5F1E32E1" w14:textId="77777777" w:rsidR="003B6FD4" w:rsidRPr="00E3487E" w:rsidRDefault="003B6FD4" w:rsidP="0082386E">
            <w:pPr>
              <w:jc w:val="center"/>
              <w:rPr>
                <w:szCs w:val="24"/>
              </w:rPr>
            </w:pPr>
            <w:r w:rsidRPr="00E3487E">
              <w:rPr>
                <w:szCs w:val="24"/>
              </w:rPr>
              <w:t>1</w:t>
            </w:r>
          </w:p>
        </w:tc>
        <w:tc>
          <w:tcPr>
            <w:tcW w:w="2168" w:type="pct"/>
          </w:tcPr>
          <w:p w14:paraId="2492C9E4" w14:textId="77777777" w:rsidR="003B6FD4" w:rsidRPr="00E3487E" w:rsidRDefault="003B6FD4" w:rsidP="0082386E">
            <w:pPr>
              <w:rPr>
                <w:szCs w:val="24"/>
              </w:rPr>
            </w:pPr>
            <w:r w:rsidRPr="00E3487E">
              <w:rPr>
                <w:szCs w:val="24"/>
              </w:rPr>
              <w:t>Выдано патентов</w:t>
            </w:r>
          </w:p>
        </w:tc>
        <w:tc>
          <w:tcPr>
            <w:tcW w:w="495" w:type="pct"/>
          </w:tcPr>
          <w:p w14:paraId="2E57F5BD" w14:textId="77777777" w:rsidR="003B6FD4" w:rsidRPr="00E3487E" w:rsidRDefault="003B6FD4" w:rsidP="0082386E">
            <w:pPr>
              <w:jc w:val="center"/>
              <w:rPr>
                <w:szCs w:val="24"/>
              </w:rPr>
            </w:pPr>
            <w:r w:rsidRPr="00E3487E">
              <w:rPr>
                <w:szCs w:val="24"/>
              </w:rPr>
              <w:t>ед.</w:t>
            </w:r>
          </w:p>
        </w:tc>
        <w:tc>
          <w:tcPr>
            <w:tcW w:w="566" w:type="pct"/>
            <w:vAlign w:val="center"/>
          </w:tcPr>
          <w:p w14:paraId="7F7B1931" w14:textId="77777777" w:rsidR="003B6FD4" w:rsidRPr="00E3487E" w:rsidRDefault="003B6FD4" w:rsidP="0082386E">
            <w:pPr>
              <w:jc w:val="center"/>
              <w:rPr>
                <w:szCs w:val="24"/>
              </w:rPr>
            </w:pPr>
            <w:r w:rsidRPr="00E3487E">
              <w:rPr>
                <w:szCs w:val="24"/>
              </w:rPr>
              <w:t>2 864</w:t>
            </w:r>
          </w:p>
        </w:tc>
        <w:tc>
          <w:tcPr>
            <w:tcW w:w="582" w:type="pct"/>
          </w:tcPr>
          <w:p w14:paraId="30825C38" w14:textId="77777777" w:rsidR="003B6FD4" w:rsidRPr="00E3487E" w:rsidRDefault="003B6FD4" w:rsidP="0082386E">
            <w:pPr>
              <w:jc w:val="center"/>
              <w:rPr>
                <w:szCs w:val="24"/>
              </w:rPr>
            </w:pPr>
            <w:r w:rsidRPr="00E3487E">
              <w:rPr>
                <w:szCs w:val="24"/>
              </w:rPr>
              <w:t>3 435</w:t>
            </w:r>
          </w:p>
        </w:tc>
        <w:tc>
          <w:tcPr>
            <w:tcW w:w="899" w:type="pct"/>
          </w:tcPr>
          <w:p w14:paraId="1418AE15" w14:textId="77777777" w:rsidR="003B6FD4" w:rsidRPr="00E3487E" w:rsidRDefault="003B6FD4" w:rsidP="0082386E">
            <w:pPr>
              <w:jc w:val="center"/>
              <w:rPr>
                <w:szCs w:val="24"/>
              </w:rPr>
            </w:pPr>
            <w:r w:rsidRPr="00E3487E">
              <w:rPr>
                <w:szCs w:val="24"/>
              </w:rPr>
              <w:t>3 178</w:t>
            </w:r>
            <w:r w:rsidRPr="00E3487E">
              <w:rPr>
                <w:szCs w:val="24"/>
                <w:vertAlign w:val="superscript"/>
              </w:rPr>
              <w:footnoteReference w:id="4"/>
            </w:r>
          </w:p>
        </w:tc>
      </w:tr>
      <w:tr w:rsidR="003B6FD4" w:rsidRPr="00E3487E" w14:paraId="561FDE6C" w14:textId="77777777" w:rsidTr="00E3487E">
        <w:tc>
          <w:tcPr>
            <w:tcW w:w="290" w:type="pct"/>
          </w:tcPr>
          <w:p w14:paraId="1D356118" w14:textId="77777777" w:rsidR="003B6FD4" w:rsidRPr="00E3487E" w:rsidRDefault="003B6FD4" w:rsidP="0082386E">
            <w:pPr>
              <w:jc w:val="center"/>
              <w:rPr>
                <w:szCs w:val="24"/>
              </w:rPr>
            </w:pPr>
            <w:r w:rsidRPr="00E3487E">
              <w:rPr>
                <w:szCs w:val="24"/>
              </w:rPr>
              <w:t>2</w:t>
            </w:r>
          </w:p>
        </w:tc>
        <w:tc>
          <w:tcPr>
            <w:tcW w:w="2168" w:type="pct"/>
          </w:tcPr>
          <w:p w14:paraId="23DA9110" w14:textId="77777777" w:rsidR="003B6FD4" w:rsidRPr="00E3487E" w:rsidRDefault="003B6FD4" w:rsidP="0082386E">
            <w:pPr>
              <w:rPr>
                <w:szCs w:val="24"/>
              </w:rPr>
            </w:pPr>
            <w:r w:rsidRPr="00E3487E">
              <w:rPr>
                <w:szCs w:val="24"/>
              </w:rPr>
              <w:t>Число ИП, применяющих патентную систему налогообложения</w:t>
            </w:r>
          </w:p>
        </w:tc>
        <w:tc>
          <w:tcPr>
            <w:tcW w:w="495" w:type="pct"/>
            <w:vAlign w:val="center"/>
          </w:tcPr>
          <w:p w14:paraId="12FBE742" w14:textId="77777777" w:rsidR="003B6FD4" w:rsidRPr="00E3487E" w:rsidRDefault="003B6FD4" w:rsidP="00E3487E">
            <w:pPr>
              <w:jc w:val="center"/>
              <w:rPr>
                <w:szCs w:val="24"/>
              </w:rPr>
            </w:pPr>
            <w:r w:rsidRPr="00E3487E">
              <w:rPr>
                <w:szCs w:val="24"/>
              </w:rPr>
              <w:t>ед.</w:t>
            </w:r>
          </w:p>
        </w:tc>
        <w:tc>
          <w:tcPr>
            <w:tcW w:w="566" w:type="pct"/>
            <w:vAlign w:val="center"/>
          </w:tcPr>
          <w:p w14:paraId="64E39DA6" w14:textId="77777777" w:rsidR="003B6FD4" w:rsidRPr="00E3487E" w:rsidRDefault="003B6FD4" w:rsidP="0082386E">
            <w:pPr>
              <w:jc w:val="center"/>
              <w:rPr>
                <w:szCs w:val="24"/>
              </w:rPr>
            </w:pPr>
            <w:r w:rsidRPr="00E3487E">
              <w:rPr>
                <w:szCs w:val="24"/>
              </w:rPr>
              <w:t>1 812</w:t>
            </w:r>
          </w:p>
        </w:tc>
        <w:tc>
          <w:tcPr>
            <w:tcW w:w="582" w:type="pct"/>
            <w:vAlign w:val="center"/>
          </w:tcPr>
          <w:p w14:paraId="7A29C442" w14:textId="77777777" w:rsidR="003B6FD4" w:rsidRPr="00E3487E" w:rsidRDefault="003B6FD4" w:rsidP="0082386E">
            <w:pPr>
              <w:jc w:val="center"/>
              <w:rPr>
                <w:szCs w:val="24"/>
              </w:rPr>
            </w:pPr>
            <w:r w:rsidRPr="00E3487E">
              <w:rPr>
                <w:szCs w:val="24"/>
              </w:rPr>
              <w:t>2 212</w:t>
            </w:r>
          </w:p>
        </w:tc>
        <w:tc>
          <w:tcPr>
            <w:tcW w:w="899" w:type="pct"/>
            <w:vAlign w:val="center"/>
          </w:tcPr>
          <w:p w14:paraId="2F5B2179" w14:textId="77777777" w:rsidR="003B6FD4" w:rsidRPr="00E3487E" w:rsidRDefault="003B6FD4" w:rsidP="0082386E">
            <w:pPr>
              <w:jc w:val="center"/>
              <w:rPr>
                <w:szCs w:val="24"/>
              </w:rPr>
            </w:pPr>
            <w:r w:rsidRPr="00E3487E">
              <w:rPr>
                <w:szCs w:val="24"/>
              </w:rPr>
              <w:t>2 157</w:t>
            </w:r>
            <w:r w:rsidRPr="00E3487E">
              <w:rPr>
                <w:szCs w:val="24"/>
                <w:vertAlign w:val="superscript"/>
              </w:rPr>
              <w:footnoteReference w:id="5"/>
            </w:r>
          </w:p>
        </w:tc>
      </w:tr>
      <w:tr w:rsidR="003B6FD4" w:rsidRPr="00E3487E" w14:paraId="24C8C549" w14:textId="77777777" w:rsidTr="00E3487E">
        <w:tc>
          <w:tcPr>
            <w:tcW w:w="290" w:type="pct"/>
          </w:tcPr>
          <w:p w14:paraId="1FA4A94E" w14:textId="77777777" w:rsidR="003B6FD4" w:rsidRPr="00E3487E" w:rsidRDefault="003B6FD4" w:rsidP="0082386E">
            <w:pPr>
              <w:jc w:val="center"/>
              <w:rPr>
                <w:szCs w:val="24"/>
              </w:rPr>
            </w:pPr>
            <w:r w:rsidRPr="00E3487E">
              <w:rPr>
                <w:szCs w:val="24"/>
              </w:rPr>
              <w:t>3</w:t>
            </w:r>
          </w:p>
        </w:tc>
        <w:tc>
          <w:tcPr>
            <w:tcW w:w="2168" w:type="pct"/>
          </w:tcPr>
          <w:p w14:paraId="0AFFE789" w14:textId="77777777" w:rsidR="003B6FD4" w:rsidRPr="00E3487E" w:rsidRDefault="003B6FD4" w:rsidP="0082386E">
            <w:pPr>
              <w:rPr>
                <w:szCs w:val="24"/>
              </w:rPr>
            </w:pPr>
            <w:r w:rsidRPr="00E3487E">
              <w:rPr>
                <w:szCs w:val="24"/>
              </w:rPr>
              <w:t>Поступление в бюджет города от патентной системы налогообложения</w:t>
            </w:r>
          </w:p>
        </w:tc>
        <w:tc>
          <w:tcPr>
            <w:tcW w:w="495" w:type="pct"/>
          </w:tcPr>
          <w:p w14:paraId="16623037" w14:textId="77777777" w:rsidR="003B6FD4" w:rsidRPr="00E3487E" w:rsidRDefault="003B6FD4" w:rsidP="0082386E">
            <w:pPr>
              <w:jc w:val="center"/>
              <w:rPr>
                <w:szCs w:val="24"/>
              </w:rPr>
            </w:pPr>
            <w:r w:rsidRPr="00E3487E">
              <w:rPr>
                <w:szCs w:val="24"/>
              </w:rPr>
              <w:t>млн руб.</w:t>
            </w:r>
          </w:p>
        </w:tc>
        <w:tc>
          <w:tcPr>
            <w:tcW w:w="566" w:type="pct"/>
            <w:vAlign w:val="center"/>
          </w:tcPr>
          <w:p w14:paraId="4FE05F5C" w14:textId="77777777" w:rsidR="003B6FD4" w:rsidRPr="00E3487E" w:rsidRDefault="003B6FD4" w:rsidP="0082386E">
            <w:pPr>
              <w:jc w:val="center"/>
              <w:rPr>
                <w:szCs w:val="24"/>
              </w:rPr>
            </w:pPr>
            <w:r w:rsidRPr="00E3487E">
              <w:rPr>
                <w:szCs w:val="24"/>
              </w:rPr>
              <w:t>47,2</w:t>
            </w:r>
          </w:p>
        </w:tc>
        <w:tc>
          <w:tcPr>
            <w:tcW w:w="582" w:type="pct"/>
            <w:vAlign w:val="center"/>
          </w:tcPr>
          <w:p w14:paraId="6DB71ACB" w14:textId="77777777" w:rsidR="003B6FD4" w:rsidRPr="00E3487E" w:rsidRDefault="003B6FD4" w:rsidP="0082386E">
            <w:pPr>
              <w:jc w:val="center"/>
              <w:rPr>
                <w:szCs w:val="24"/>
              </w:rPr>
            </w:pPr>
            <w:r w:rsidRPr="00E3487E">
              <w:rPr>
                <w:szCs w:val="24"/>
              </w:rPr>
              <w:t>49,2</w:t>
            </w:r>
          </w:p>
        </w:tc>
        <w:tc>
          <w:tcPr>
            <w:tcW w:w="899" w:type="pct"/>
            <w:vAlign w:val="center"/>
          </w:tcPr>
          <w:p w14:paraId="248BDDCD" w14:textId="77777777" w:rsidR="003B6FD4" w:rsidRPr="00E3487E" w:rsidRDefault="003B6FD4" w:rsidP="0082386E">
            <w:pPr>
              <w:jc w:val="center"/>
              <w:rPr>
                <w:szCs w:val="24"/>
              </w:rPr>
            </w:pPr>
            <w:r w:rsidRPr="00E3487E">
              <w:rPr>
                <w:szCs w:val="24"/>
              </w:rPr>
              <w:t>35,4</w:t>
            </w:r>
          </w:p>
        </w:tc>
      </w:tr>
    </w:tbl>
    <w:p w14:paraId="454543C2" w14:textId="77777777" w:rsidR="003B6FD4" w:rsidRPr="00E3487E" w:rsidRDefault="003B6FD4" w:rsidP="003B6F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D4532D6" w14:textId="2759928F" w:rsidR="003B6FD4" w:rsidRPr="00E3487E" w:rsidRDefault="003B6FD4" w:rsidP="00BD37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487E">
        <w:rPr>
          <w:rFonts w:ascii="Times New Roman" w:hAnsi="Times New Roman"/>
          <w:sz w:val="24"/>
          <w:szCs w:val="24"/>
        </w:rPr>
        <w:t>В конце 2017 года принят Федеральный закон</w:t>
      </w:r>
      <w:r w:rsidRPr="00E3487E">
        <w:rPr>
          <w:rFonts w:ascii="Times New Roman" w:hAnsi="Times New Roman"/>
          <w:sz w:val="24"/>
          <w:szCs w:val="24"/>
          <w:vertAlign w:val="superscript"/>
        </w:rPr>
        <w:footnoteReference w:id="6"/>
      </w:r>
      <w:r w:rsidRPr="00E3487E">
        <w:rPr>
          <w:rFonts w:ascii="Times New Roman" w:hAnsi="Times New Roman"/>
          <w:sz w:val="24"/>
          <w:szCs w:val="24"/>
        </w:rPr>
        <w:t xml:space="preserve">, положения которого касаются изменения сроков перехода на онлайн контрольно-кассовую технику (далее – ККТ). </w:t>
      </w:r>
      <w:r w:rsidR="00E3487E">
        <w:rPr>
          <w:rFonts w:ascii="Times New Roman" w:hAnsi="Times New Roman"/>
          <w:sz w:val="24"/>
          <w:szCs w:val="24"/>
        </w:rPr>
        <w:t xml:space="preserve">               </w:t>
      </w:r>
      <w:r w:rsidRPr="00E3487E">
        <w:rPr>
          <w:rFonts w:ascii="Times New Roman" w:hAnsi="Times New Roman"/>
          <w:sz w:val="24"/>
          <w:szCs w:val="24"/>
        </w:rPr>
        <w:t xml:space="preserve">Для индивидуальных предпринимателей, применяющих специальные налоговые режимы, а именно ЕНВД или ПСН, предоставлено право использования налоговых вычетов </w:t>
      </w:r>
      <w:r w:rsidR="00E3487E">
        <w:rPr>
          <w:rFonts w:ascii="Times New Roman" w:hAnsi="Times New Roman"/>
          <w:sz w:val="24"/>
          <w:szCs w:val="24"/>
        </w:rPr>
        <w:t xml:space="preserve">                </w:t>
      </w:r>
      <w:r w:rsidRPr="00E3487E">
        <w:rPr>
          <w:rFonts w:ascii="Times New Roman" w:hAnsi="Times New Roman"/>
          <w:sz w:val="24"/>
          <w:szCs w:val="24"/>
        </w:rPr>
        <w:t>на сумму расходов по приобретению ККТ</w:t>
      </w:r>
      <w:r w:rsidR="00BD376E" w:rsidRPr="00E3487E">
        <w:rPr>
          <w:rFonts w:ascii="Times New Roman" w:hAnsi="Times New Roman"/>
          <w:sz w:val="24"/>
          <w:szCs w:val="24"/>
        </w:rPr>
        <w:t xml:space="preserve"> </w:t>
      </w:r>
      <w:r w:rsidRPr="00E3487E">
        <w:rPr>
          <w:rFonts w:ascii="Times New Roman" w:hAnsi="Times New Roman"/>
          <w:sz w:val="24"/>
          <w:szCs w:val="24"/>
        </w:rPr>
        <w:t>в размере не более 18,0 тыс. руб. на каждый экземпляр, зарегистрированный</w:t>
      </w:r>
      <w:r w:rsidR="007E57C2" w:rsidRPr="00E3487E">
        <w:rPr>
          <w:rFonts w:ascii="Times New Roman" w:hAnsi="Times New Roman"/>
          <w:sz w:val="24"/>
          <w:szCs w:val="24"/>
        </w:rPr>
        <w:t xml:space="preserve"> </w:t>
      </w:r>
      <w:r w:rsidRPr="00E3487E">
        <w:rPr>
          <w:rFonts w:ascii="Times New Roman" w:hAnsi="Times New Roman"/>
          <w:sz w:val="24"/>
          <w:szCs w:val="24"/>
        </w:rPr>
        <w:t>до 01.07.2019. Возможность получения налоговых вычетов на сумму расходов по приобретению ККТ позволяет снизить финансовую нагрузку</w:t>
      </w:r>
      <w:r w:rsidR="00BD376E" w:rsidRPr="00E3487E">
        <w:rPr>
          <w:rFonts w:ascii="Times New Roman" w:hAnsi="Times New Roman"/>
          <w:sz w:val="24"/>
          <w:szCs w:val="24"/>
        </w:rPr>
        <w:t xml:space="preserve"> </w:t>
      </w:r>
      <w:r w:rsidRPr="00E3487E">
        <w:rPr>
          <w:rFonts w:ascii="Times New Roman" w:hAnsi="Times New Roman"/>
          <w:sz w:val="24"/>
          <w:szCs w:val="24"/>
        </w:rPr>
        <w:t xml:space="preserve">на индивидуальных предпринимателей, возросшую в связи с необходимостью приобретения онлайн ККТ и обязанностью ее применения при осуществлении расчетов </w:t>
      </w:r>
      <w:r w:rsidR="00E3487E">
        <w:rPr>
          <w:rFonts w:ascii="Times New Roman" w:hAnsi="Times New Roman"/>
          <w:sz w:val="24"/>
          <w:szCs w:val="24"/>
        </w:rPr>
        <w:t xml:space="preserve">            </w:t>
      </w:r>
      <w:r w:rsidRPr="00E3487E">
        <w:rPr>
          <w:rFonts w:ascii="Times New Roman" w:hAnsi="Times New Roman"/>
          <w:sz w:val="24"/>
          <w:szCs w:val="24"/>
        </w:rPr>
        <w:t>с покупателями.</w:t>
      </w:r>
    </w:p>
    <w:p w14:paraId="32BBE88D" w14:textId="32585144" w:rsidR="003B6FD4" w:rsidRPr="00E3487E" w:rsidRDefault="003B6FD4" w:rsidP="003B6F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487E">
        <w:rPr>
          <w:rFonts w:ascii="Times New Roman" w:hAnsi="Times New Roman"/>
          <w:sz w:val="24"/>
          <w:szCs w:val="24"/>
        </w:rPr>
        <w:t>Кроме того, в июне 2019 года вступил в силу закон с послабления</w:t>
      </w:r>
      <w:r w:rsidR="00E3487E">
        <w:rPr>
          <w:rFonts w:ascii="Times New Roman" w:hAnsi="Times New Roman"/>
          <w:sz w:val="24"/>
          <w:szCs w:val="24"/>
        </w:rPr>
        <w:t xml:space="preserve">ми </w:t>
      </w:r>
      <w:r w:rsidRPr="00E3487E">
        <w:rPr>
          <w:rFonts w:ascii="Times New Roman" w:hAnsi="Times New Roman"/>
          <w:sz w:val="24"/>
          <w:szCs w:val="24"/>
        </w:rPr>
        <w:t xml:space="preserve">для некоторых сфер бизнеса по применению ККТ, например, для индивидуальных предпринимателей, </w:t>
      </w:r>
      <w:r w:rsidR="00E3487E">
        <w:rPr>
          <w:rFonts w:ascii="Times New Roman" w:hAnsi="Times New Roman"/>
          <w:sz w:val="24"/>
          <w:szCs w:val="24"/>
        </w:rPr>
        <w:t xml:space="preserve">         </w:t>
      </w:r>
      <w:r w:rsidRPr="00E3487E">
        <w:rPr>
          <w:rFonts w:ascii="Times New Roman" w:hAnsi="Times New Roman"/>
          <w:sz w:val="24"/>
          <w:szCs w:val="24"/>
        </w:rPr>
        <w:t>не имеющих работников, с которыми заключены трудовые договоры, при реализации товаров собственного производства, выполнении работ, оказании услуг</w:t>
      </w:r>
      <w:r w:rsidRPr="00E3487E">
        <w:rPr>
          <w:rFonts w:ascii="Times New Roman" w:hAnsi="Times New Roman"/>
          <w:sz w:val="24"/>
          <w:szCs w:val="24"/>
          <w:vertAlign w:val="superscript"/>
        </w:rPr>
        <w:footnoteReference w:id="7"/>
      </w:r>
      <w:r w:rsidRPr="00E3487E">
        <w:rPr>
          <w:rFonts w:ascii="Times New Roman" w:hAnsi="Times New Roman"/>
          <w:sz w:val="24"/>
          <w:szCs w:val="24"/>
        </w:rPr>
        <w:t>.</w:t>
      </w:r>
    </w:p>
    <w:p w14:paraId="6DD53486" w14:textId="77777777" w:rsidR="003B6FD4" w:rsidRPr="00E3487E" w:rsidRDefault="003B6FD4" w:rsidP="00813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4CE793" w14:textId="77777777" w:rsidR="00693729" w:rsidRPr="00E3487E" w:rsidRDefault="00693729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Инвестиции</w:t>
      </w:r>
    </w:p>
    <w:p w14:paraId="232812F1" w14:textId="77777777" w:rsidR="00BD376E" w:rsidRPr="00E3487E" w:rsidRDefault="00BD376E" w:rsidP="0069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5CC5A6" w14:textId="4004B697" w:rsidR="00734BF2" w:rsidRPr="00E3487E" w:rsidRDefault="00734BF2" w:rsidP="00E3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прогнозных показателей инвестиционной деятельности на территории города Иванова основан на предоставленных Ивановостат предварительных результатах за 2018 год, анализе показателей за 1 полугодие 2019 года, данных муниципальной </w:t>
      </w: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адресной инвестиционной программы, а также прогнозных показателях инвестиционной деятельности </w:t>
      </w:r>
      <w:r w:rsidR="00C35572"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некоторых </w:t>
      </w: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 и организаций города Иванова.</w:t>
      </w:r>
    </w:p>
    <w:p w14:paraId="1E174394" w14:textId="013264F7" w:rsidR="00734BF2" w:rsidRPr="00E3487E" w:rsidRDefault="00734BF2" w:rsidP="00E3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инвестиций в основной капитал по организациям, не относящимся к субъектам малого предпринимательства, в областном центре в 2018 году сложился </w:t>
      </w:r>
      <w:r w:rsid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8,4 млрд руб., или 104,5% к уровню 2017 года</w:t>
      </w:r>
      <w:r w:rsidR="00D6310A" w:rsidRPr="00E3487E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8"/>
      </w: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сопоставимых ценах – 99,3%).</w:t>
      </w:r>
    </w:p>
    <w:p w14:paraId="7D88492C" w14:textId="7596AC89" w:rsidR="00734BF2" w:rsidRPr="00E3487E" w:rsidRDefault="00734BF2" w:rsidP="00E3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сравнении с 2017 годом доля собственных средств в структуре инвестиций </w:t>
      </w:r>
      <w:r w:rsid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источникам финансирования превысила долю привлеченных, составив 53,9%.</w:t>
      </w:r>
    </w:p>
    <w:p w14:paraId="706C16F7" w14:textId="74E90CDD" w:rsidR="00734BF2" w:rsidRPr="00E3487E" w:rsidRDefault="00734BF2" w:rsidP="00E3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 полугодия 2019 года объем</w:t>
      </w:r>
      <w:r w:rsid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инвестиций в основной капитал </w:t>
      </w: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организациям, не относящимся к субъектам малого предпринимательства, сложился </w:t>
      </w:r>
      <w:r w:rsid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2,4 млрд руб., или 81,2% к аналогичному периоду прошлого года. Отрицательная динамика показателя обусловлена существенным снижением капитальных вложений ряда обособленных подразделений АО «Российские железные дороги», банкротством ОАО «Ивановская домостроительная компания».</w:t>
      </w:r>
    </w:p>
    <w:p w14:paraId="7DB9F6D7" w14:textId="77777777" w:rsidR="00734BF2" w:rsidRPr="00E3487E" w:rsidRDefault="00734BF2" w:rsidP="00E3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Видовая структура инвестиций в основной капитал в январе – июне 2019 года сложилась следующим образом:</w:t>
      </w:r>
    </w:p>
    <w:p w14:paraId="623F92B6" w14:textId="77777777" w:rsidR="00734BF2" w:rsidRPr="00E3487E" w:rsidRDefault="00734BF2" w:rsidP="00E3487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Жилые здания и помещения – 167,3 млн руб. (7,1%);</w:t>
      </w:r>
    </w:p>
    <w:p w14:paraId="3BEC2CA7" w14:textId="77777777" w:rsidR="00734BF2" w:rsidRPr="00E3487E" w:rsidRDefault="00734BF2" w:rsidP="00E3487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 (кроме жилых) и сооружения – 702,5 млн руб. (29,7%);</w:t>
      </w:r>
    </w:p>
    <w:p w14:paraId="6E79E904" w14:textId="77777777" w:rsidR="00734BF2" w:rsidRPr="00E3487E" w:rsidRDefault="00734BF2" w:rsidP="00E3487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Машины, оборудование, инструмент, инвентарь – 1429,2 млн руб. (60,4%);</w:t>
      </w:r>
    </w:p>
    <w:p w14:paraId="55ED434D" w14:textId="77777777" w:rsidR="00734BF2" w:rsidRPr="00E3487E" w:rsidRDefault="00734BF2" w:rsidP="00E3487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интеллектуальной собственности – 46,3 млн руб. (2,0%);</w:t>
      </w:r>
    </w:p>
    <w:p w14:paraId="0A3BBCC3" w14:textId="77777777" w:rsidR="00734BF2" w:rsidRPr="00E3487E" w:rsidRDefault="00734BF2" w:rsidP="00E3487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– 19,3 млн руб. (0,8%).</w:t>
      </w:r>
    </w:p>
    <w:p w14:paraId="30C54BE0" w14:textId="77777777" w:rsidR="00734BF2" w:rsidRPr="00E3487E" w:rsidRDefault="00734BF2" w:rsidP="00E3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прогнозируемом периоде крупные капитальные вложения предполагаются следующими организациями:</w:t>
      </w:r>
    </w:p>
    <w:p w14:paraId="1BFC8B59" w14:textId="77777777" w:rsidR="00734BF2" w:rsidRPr="00E3487E" w:rsidRDefault="00734BF2" w:rsidP="00E3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АО «Водоканал» - в рамках инвестиционной программы по развитию систем водоснабжения и водоотведения в городе Иванове;</w:t>
      </w:r>
    </w:p>
    <w:p w14:paraId="427A86EF" w14:textId="77777777" w:rsidR="00734BF2" w:rsidRPr="00E3487E" w:rsidRDefault="00734BF2" w:rsidP="00E3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АО «Ивгорэлектросеть» - в рамках инвестиционной программы, включающей разработку ПСД, реконструкцию и строительство объектов электросетевого хозяйства;</w:t>
      </w:r>
    </w:p>
    <w:p w14:paraId="7197621A" w14:textId="77777777" w:rsidR="00734BF2" w:rsidRPr="00E3487E" w:rsidRDefault="00734BF2" w:rsidP="00E3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АО «Ивгортеплоэнерго» в рамках инвестиционной программы в сфере теплоснабжения;</w:t>
      </w:r>
    </w:p>
    <w:p w14:paraId="579B7322" w14:textId="77777777" w:rsidR="00734BF2" w:rsidRPr="00E3487E" w:rsidRDefault="00734BF2" w:rsidP="00E3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Владимирским филиалом ПАО «Т Плюс» продолжится реализация инвестиционной программы;</w:t>
      </w:r>
    </w:p>
    <w:p w14:paraId="019CCA94" w14:textId="77777777" w:rsidR="00734BF2" w:rsidRPr="00E3487E" w:rsidRDefault="00734BF2" w:rsidP="00E3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ООО «Ивановский комбинат детского питания» реализует ряд инвестиционных проектов по запуску новых выскотехнологичных производственных линий, строительству склада готовой продукции;</w:t>
      </w:r>
    </w:p>
    <w:p w14:paraId="77144077" w14:textId="77777777" w:rsidR="00734BF2" w:rsidRPr="00E3487E" w:rsidRDefault="00734BF2" w:rsidP="00E3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АО «Ивановские строительные материалы и абразивы» осуществляет модернизацию производства абразивного инструмента;</w:t>
      </w:r>
    </w:p>
    <w:p w14:paraId="5EFA17FB" w14:textId="77777777" w:rsidR="00734BF2" w:rsidRPr="00E3487E" w:rsidRDefault="00734BF2" w:rsidP="00E3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Машиностроительной группой «КРАНЭКС» планируется внедрение машины комбинированной резки металла фирмы ESAB (Швеция);</w:t>
      </w:r>
    </w:p>
    <w:p w14:paraId="3B76DC37" w14:textId="77777777" w:rsidR="00734BF2" w:rsidRPr="00E3487E" w:rsidRDefault="00734BF2" w:rsidP="00E3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ООО «Профессионал» расширяет производство;</w:t>
      </w:r>
    </w:p>
    <w:p w14:paraId="4FF87FBA" w14:textId="25093725" w:rsidR="002A33E4" w:rsidRPr="00E3487E" w:rsidRDefault="002A33E4" w:rsidP="00E3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ООО «ИМЗ Автокран» планирует производство автомобильных кранов грузоподъемностью 32-50 тонн с унифицированно</w:t>
      </w:r>
      <w:r w:rsidR="008777FD"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модернизированной кабиной </w:t>
      </w:r>
      <w:r w:rsid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8777FD"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автомобильных кранов грузоподъемностью от 16 до 50 тонн;</w:t>
      </w:r>
    </w:p>
    <w:p w14:paraId="59EAF043" w14:textId="6D953DBC" w:rsidR="00734BF2" w:rsidRPr="00E3487E" w:rsidRDefault="00734BF2" w:rsidP="00E3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ООО «Нейрософт» осуществляет строительство административного здания </w:t>
      </w:r>
      <w:r w:rsid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расширения производства;</w:t>
      </w:r>
    </w:p>
    <w:p w14:paraId="251022B8" w14:textId="77777777" w:rsidR="00734BF2" w:rsidRPr="00E3487E" w:rsidRDefault="00734BF2" w:rsidP="00E3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ООО «Ивановский кабельный завод» планируется модернизация производства;</w:t>
      </w:r>
    </w:p>
    <w:p w14:paraId="7710A14A" w14:textId="116E5773" w:rsidR="00734BF2" w:rsidRPr="00E3487E" w:rsidRDefault="00734BF2" w:rsidP="00E3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ООО «Стекломакс» реализует проект по запуску линии сборки стеклопакетов </w:t>
      </w:r>
      <w:r w:rsid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14:paraId="540899C7" w14:textId="511D9DE2" w:rsidR="00734BF2" w:rsidRPr="00E3487E" w:rsidRDefault="00734BF2" w:rsidP="00E3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муниципальной адресной инвестиционной программы города Иванова </w:t>
      </w:r>
      <w:r w:rsid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2019-2021 годы</w:t>
      </w:r>
      <w:r w:rsidRPr="00E34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9"/>
      </w: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прогнозируемом периоде запланирована реализация следующих </w:t>
      </w: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социально значимых инвестиционных проектов за счет средств консолидированного бюджета:</w:t>
      </w:r>
    </w:p>
    <w:p w14:paraId="690057E8" w14:textId="77777777" w:rsidR="00734BF2" w:rsidRPr="00E3487E" w:rsidRDefault="00734BF2" w:rsidP="00E3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Разработка проектной и сметной документации по следующим направлениям:</w:t>
      </w:r>
    </w:p>
    <w:p w14:paraId="4D395FB5" w14:textId="77777777" w:rsidR="00734BF2" w:rsidRPr="00E3487E" w:rsidRDefault="00734BF2" w:rsidP="00E3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«Строительство пристройки на 90 мест в МБДОУ «Детский сад № 75»;</w:t>
      </w:r>
    </w:p>
    <w:p w14:paraId="2D198955" w14:textId="1FB50463" w:rsidR="00734BF2" w:rsidRPr="00E3487E" w:rsidRDefault="00734BF2" w:rsidP="00E3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«Рекультивация свалки за домам</w:t>
      </w:r>
      <w:r w:rsid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№ 122 и № 126 по ул. Минской </w:t>
      </w: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г. Иваново»;</w:t>
      </w:r>
    </w:p>
    <w:p w14:paraId="47B64EE8" w14:textId="77777777" w:rsidR="00734BF2" w:rsidRPr="00E3487E" w:rsidRDefault="00734BF2" w:rsidP="00E3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«Строительство полигона «сухой» снежной свалки в районе улицы Минская города Иванова».</w:t>
      </w:r>
    </w:p>
    <w:p w14:paraId="37FDE9A2" w14:textId="77777777" w:rsidR="00734BF2" w:rsidRPr="00E3487E" w:rsidRDefault="00734BF2" w:rsidP="00E3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Строительство:</w:t>
      </w:r>
    </w:p>
    <w:p w14:paraId="22F8AD0B" w14:textId="77777777" w:rsidR="00734BF2" w:rsidRPr="00E3487E" w:rsidRDefault="00734BF2" w:rsidP="00E3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>- школы на 350 мест по ул. Генерала Хлебникова в г. Иваново;</w:t>
      </w:r>
    </w:p>
    <w:p w14:paraId="39133386" w14:textId="77777777" w:rsidR="00734BF2" w:rsidRPr="00E3487E" w:rsidRDefault="00734BF2" w:rsidP="00E3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общеобразовательной школы на 700 учащихся в микрорайоне «Сухово-Дерябихский»;</w:t>
      </w:r>
    </w:p>
    <w:p w14:paraId="30AC5BD2" w14:textId="1E2D1BB2" w:rsidR="00734BF2" w:rsidRPr="00E3487E" w:rsidRDefault="00734BF2" w:rsidP="00E3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дошкольного образовательного учр</w:t>
      </w:r>
      <w:r w:rsid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еждения на 240 мест по адресу: </w:t>
      </w: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Иваново, </w:t>
      </w:r>
      <w:r w:rsid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1-я Камвольная;</w:t>
      </w:r>
    </w:p>
    <w:p w14:paraId="5F4B4D58" w14:textId="77777777" w:rsidR="00734BF2" w:rsidRPr="00E3487E" w:rsidRDefault="00734BF2" w:rsidP="00E3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пристройки на 57 мест в МБДОУ «Детский сад № 152»;</w:t>
      </w:r>
    </w:p>
    <w:p w14:paraId="66E322CD" w14:textId="77777777" w:rsidR="00734BF2" w:rsidRPr="00E3487E" w:rsidRDefault="00734BF2" w:rsidP="00E3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пристройки на 90 мест в МБДОУ «Детский сад № 75».</w:t>
      </w:r>
    </w:p>
    <w:p w14:paraId="32BAF9A6" w14:textId="2C08DF21" w:rsidR="00734BF2" w:rsidRPr="00E3487E" w:rsidRDefault="00734BF2" w:rsidP="00E3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снижения показателей за 1</w:t>
      </w:r>
      <w:r w:rsid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2019 года, принимая </w:t>
      </w: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внимание завершение в 2019 году ряда инвестиционных проектов промышленных организаций, оценочный и прогнозные данные были скорректированы в сторону снижения индекса физического объема в сравнении </w:t>
      </w:r>
      <w:r w:rsidRPr="00E3487E">
        <w:rPr>
          <w:rFonts w:ascii="Times New Roman" w:eastAsia="Calibri" w:hAnsi="Times New Roman" w:cs="Times New Roman"/>
          <w:sz w:val="24"/>
          <w:szCs w:val="24"/>
        </w:rPr>
        <w:t xml:space="preserve">с прогнозом </w:t>
      </w:r>
      <w:r w:rsidR="00DF2AC8" w:rsidRPr="00E3487E">
        <w:rPr>
          <w:rFonts w:ascii="Times New Roman" w:eastAsia="Calibri" w:hAnsi="Times New Roman" w:cs="Times New Roman"/>
          <w:sz w:val="24"/>
          <w:szCs w:val="24"/>
        </w:rPr>
        <w:t>на 2019-</w:t>
      </w:r>
      <w:r w:rsidRPr="00E3487E">
        <w:rPr>
          <w:rFonts w:ascii="Times New Roman" w:eastAsia="Calibri" w:hAnsi="Times New Roman" w:cs="Times New Roman"/>
          <w:sz w:val="24"/>
          <w:szCs w:val="24"/>
        </w:rPr>
        <w:t>2021 гг.</w:t>
      </w: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2019 году – на 6,5 п.п., </w:t>
      </w:r>
      <w:r w:rsid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– на 1,7 п.п, в 2021 году – в сторону увеличения на 0,1 п.п.</w:t>
      </w:r>
    </w:p>
    <w:p w14:paraId="4A0833B7" w14:textId="236ED561" w:rsidR="00734BF2" w:rsidRPr="00E3487E" w:rsidRDefault="00734BF2" w:rsidP="00E3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прогнозируемом до 2022 года периоде ожидается, что объем инвестиций в основной капитал будет иметь тенденцию к росту: в 2019 году – </w:t>
      </w:r>
      <w:r w:rsid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8,6 млрд руб., в 2020 году – 8,9 млрд руб., в 2021 году – 9,4 млрд руб., в 2022 году – </w:t>
      </w:r>
      <w:r w:rsid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>9,9 млрд руб.</w:t>
      </w:r>
    </w:p>
    <w:p w14:paraId="2D721D42" w14:textId="77777777" w:rsidR="001018D6" w:rsidRPr="00E3487E" w:rsidRDefault="00B74D1F" w:rsidP="00B5413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1018D6" w:rsidRPr="00E34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Труд и занятость</w:t>
      </w:r>
    </w:p>
    <w:p w14:paraId="5F6E0069" w14:textId="2A5F604B" w:rsidR="00997540" w:rsidRPr="00E3487E" w:rsidRDefault="00997540" w:rsidP="00997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87E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данных Ивановостат, предоставленных в сентябре 2019 года </w:t>
      </w:r>
      <w:r w:rsidR="00E3487E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E3487E">
        <w:rPr>
          <w:rFonts w:ascii="Times New Roman" w:eastAsia="Times New Roman" w:hAnsi="Times New Roman" w:cs="Times New Roman"/>
          <w:sz w:val="24"/>
          <w:szCs w:val="24"/>
        </w:rPr>
        <w:t xml:space="preserve">по группировке численности населения по полу и возрасту за 2018 год, численность  трудоспособного населения в трудоспособном возрасте по состоянию на 01.01.2019 составила 228 177 чел., сократившись за год на 2 114 чел., или на 0,9% (за 2017 год сокращение 2 112 чел., или на 0,9%). </w:t>
      </w:r>
    </w:p>
    <w:p w14:paraId="1A12B78E" w14:textId="55337635" w:rsidR="00997540" w:rsidRPr="00E3487E" w:rsidRDefault="00997540" w:rsidP="00997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E">
        <w:rPr>
          <w:rFonts w:ascii="Times New Roman" w:eastAsia="Times New Roman" w:hAnsi="Times New Roman" w:cs="Times New Roman"/>
          <w:sz w:val="24"/>
          <w:szCs w:val="24"/>
        </w:rPr>
        <w:t>Уточненная статистическая информация за 2018</w:t>
      </w:r>
      <w:r w:rsidR="00E3487E">
        <w:rPr>
          <w:rFonts w:ascii="Times New Roman" w:eastAsia="Times New Roman" w:hAnsi="Times New Roman" w:cs="Times New Roman"/>
          <w:sz w:val="24"/>
          <w:szCs w:val="24"/>
        </w:rPr>
        <w:t xml:space="preserve"> год повлияла </w:t>
      </w:r>
      <w:r w:rsidRPr="00E3487E">
        <w:rPr>
          <w:rFonts w:ascii="Times New Roman" w:eastAsia="Times New Roman" w:hAnsi="Times New Roman" w:cs="Times New Roman"/>
          <w:sz w:val="24"/>
          <w:szCs w:val="24"/>
        </w:rPr>
        <w:t xml:space="preserve">на оценочные </w:t>
      </w:r>
      <w:r w:rsidR="00E3487E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E3487E">
        <w:rPr>
          <w:rFonts w:ascii="Times New Roman" w:eastAsia="Times New Roman" w:hAnsi="Times New Roman" w:cs="Times New Roman"/>
          <w:sz w:val="24"/>
          <w:szCs w:val="24"/>
        </w:rPr>
        <w:t>и прогнозные показатели по численности трудовых ресурсов, скорректировав ее в сторону увеличения и з</w:t>
      </w:r>
      <w:r w:rsidR="00E3487E">
        <w:rPr>
          <w:rFonts w:ascii="Times New Roman" w:eastAsia="Times New Roman" w:hAnsi="Times New Roman" w:cs="Times New Roman"/>
          <w:sz w:val="24"/>
          <w:szCs w:val="24"/>
        </w:rPr>
        <w:t xml:space="preserve">амедления темпов ее сокращения </w:t>
      </w:r>
      <w:r w:rsidRPr="00E3487E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</w:t>
      </w: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прогнозом </w:t>
      </w:r>
      <w:r w:rsid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</w:t>
      </w:r>
      <w:r w:rsidR="0037684C"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-2021 гг. </w:t>
      </w:r>
    </w:p>
    <w:p w14:paraId="5B187C48" w14:textId="324AA712" w:rsidR="00997540" w:rsidRPr="00E3487E" w:rsidRDefault="00997540" w:rsidP="00997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87E">
        <w:rPr>
          <w:rFonts w:ascii="Times New Roman" w:eastAsia="Times New Roman" w:hAnsi="Times New Roman" w:cs="Times New Roman"/>
          <w:sz w:val="24"/>
          <w:szCs w:val="24"/>
        </w:rPr>
        <w:t xml:space="preserve">По оценке численность трудовых ресурсов в 2019 году составит 274,5 тыс. чел., или 99,1% к уровню 2018 года, численность занятых в экономике – 173,00 тыс. чел., </w:t>
      </w:r>
      <w:r w:rsidR="00E3487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E3487E">
        <w:rPr>
          <w:rFonts w:ascii="Times New Roman" w:eastAsia="Times New Roman" w:hAnsi="Times New Roman" w:cs="Times New Roman"/>
          <w:sz w:val="24"/>
          <w:szCs w:val="24"/>
        </w:rPr>
        <w:t xml:space="preserve">или на 99,1% к уровню 2018 года.  </w:t>
      </w:r>
    </w:p>
    <w:p w14:paraId="5564AAC0" w14:textId="028C0121" w:rsidR="00997540" w:rsidRPr="00E3487E" w:rsidRDefault="00997540" w:rsidP="00997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87E">
        <w:rPr>
          <w:rFonts w:ascii="Times New Roman" w:eastAsia="Times New Roman" w:hAnsi="Times New Roman" w:cs="Times New Roman"/>
          <w:sz w:val="24"/>
          <w:szCs w:val="24"/>
        </w:rPr>
        <w:t xml:space="preserve">Прогноз численности трудовых </w:t>
      </w:r>
      <w:r w:rsidR="00E3487E">
        <w:rPr>
          <w:rFonts w:ascii="Times New Roman" w:eastAsia="Times New Roman" w:hAnsi="Times New Roman" w:cs="Times New Roman"/>
          <w:sz w:val="24"/>
          <w:szCs w:val="24"/>
        </w:rPr>
        <w:t xml:space="preserve">ресурсов и занятых в экономике </w:t>
      </w:r>
      <w:r w:rsidRPr="00E3487E">
        <w:rPr>
          <w:rFonts w:ascii="Times New Roman" w:eastAsia="Times New Roman" w:hAnsi="Times New Roman" w:cs="Times New Roman"/>
          <w:sz w:val="24"/>
          <w:szCs w:val="24"/>
        </w:rPr>
        <w:t>на 2020-2022 гг. рассчитан с учетом демографических процессов – старение населения (увеличение доли граждан старшего возраста), сокращение численности населения в трудоспособном возрасте (в связи с высокими показателями смертности населения в данной возрастной группе, особенно у мужчин) и поэтапным повышением пенсионного возраста. Тенденция снижения численности трудовых ресурсов и численности занятых в экономике сохранится на протяжении всего прогнозного периода. К 2022 году численность трудовых ресурсов сократится до 267,00 тыс. чел., занятых в экономике до 168,6 тыс. чел. или на 2,7% и 2,5% к 2019 году соответственно.</w:t>
      </w:r>
    </w:p>
    <w:p w14:paraId="11F7645D" w14:textId="74F832E1" w:rsidR="00997540" w:rsidRPr="00E3487E" w:rsidRDefault="00997540" w:rsidP="00997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году на рынке труда областного центра сохранялась положительная динамика основных показателей занятости населения. За 2018 год численность безработных снизилась с 911 до 789 чел., или на 13,4%, уровень безработицы снизился </w:t>
      </w:r>
      <w:r w:rsid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>с 0,4% до 0,35%, коэффициент напряженности на территориальном рынке труда снизился с 0,5 до 0,35 чел. на одну вакансию.</w:t>
      </w:r>
    </w:p>
    <w:p w14:paraId="5AD20ABE" w14:textId="77777777" w:rsidR="00997540" w:rsidRDefault="00997540" w:rsidP="0099754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1BCB30D" w14:textId="77777777" w:rsidR="00997540" w:rsidRPr="00191EE7" w:rsidRDefault="00997540" w:rsidP="0099754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91EE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Изменение уровня безработицы и коэффициента напряженности</w:t>
      </w:r>
    </w:p>
    <w:p w14:paraId="6F2DDCA0" w14:textId="77777777" w:rsidR="00997540" w:rsidRPr="00191EE7" w:rsidRDefault="00997540" w:rsidP="0099754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91EE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на рынке труда </w:t>
      </w:r>
      <w:r w:rsidRPr="00191E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(на конец периода)</w:t>
      </w:r>
    </w:p>
    <w:p w14:paraId="4D75DD56" w14:textId="77777777" w:rsidR="00997540" w:rsidRPr="007378D0" w:rsidRDefault="00997540" w:rsidP="0099754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DB905C8" w14:textId="77777777" w:rsidR="00997540" w:rsidRPr="007378D0" w:rsidRDefault="00997540" w:rsidP="00E34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1EE7">
        <w:rPr>
          <w:rFonts w:ascii="Times New Roman" w:eastAsia="Calibri" w:hAnsi="Times New Roman" w:cs="Times New Roman"/>
          <w:i/>
          <w:noProof/>
          <w:sz w:val="24"/>
          <w:lang w:eastAsia="ru-RU"/>
        </w:rPr>
        <w:drawing>
          <wp:inline distT="0" distB="0" distL="0" distR="0" wp14:anchorId="5E2E922B" wp14:editId="3BAA59E2">
            <wp:extent cx="5693134" cy="2846567"/>
            <wp:effectExtent l="0" t="0" r="3175" b="0"/>
            <wp:docPr id="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E1FA5D1" w14:textId="4295F539" w:rsidR="00997540" w:rsidRPr="00E3487E" w:rsidRDefault="00997540" w:rsidP="00E3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487E">
        <w:rPr>
          <w:rFonts w:ascii="Times New Roman" w:eastAsia="Calibri" w:hAnsi="Times New Roman" w:cs="Times New Roman"/>
          <w:bCs/>
          <w:sz w:val="24"/>
          <w:szCs w:val="28"/>
        </w:rPr>
        <w:t>В 2019 году также наблюдается</w:t>
      </w:r>
      <w:r w:rsidRPr="00E348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положительная динамика основных показателей, 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  <w:r w:rsidR="00E3487E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связи с чем</w:t>
      </w:r>
      <w:r w:rsidRPr="00E348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показатели по безработице в 2019-2022 гг. скорректированы в сторону улучшения </w:t>
      </w:r>
      <w:r w:rsidR="008C0A90" w:rsidRPr="00E348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</w:t>
      </w:r>
      <w:r w:rsidRPr="00E348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прогнозом </w:t>
      </w:r>
      <w:r w:rsidR="008C0A90" w:rsidRPr="00E3487E">
        <w:rPr>
          <w:rFonts w:ascii="Times New Roman" w:eastAsia="Times New Roman" w:hAnsi="Times New Roman" w:cs="Times New Roman"/>
          <w:sz w:val="24"/>
          <w:szCs w:val="28"/>
          <w:lang w:eastAsia="ru-RU"/>
        </w:rPr>
        <w:t>на 2019-2021 гг</w:t>
      </w:r>
      <w:r w:rsidRPr="00E348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14:paraId="1F292CCD" w14:textId="77777777" w:rsidR="00997540" w:rsidRPr="00E3487E" w:rsidRDefault="00997540" w:rsidP="00E3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487E">
        <w:rPr>
          <w:rFonts w:ascii="Times New Roman" w:eastAsia="Times New Roman" w:hAnsi="Times New Roman" w:cs="Times New Roman"/>
          <w:sz w:val="24"/>
          <w:szCs w:val="28"/>
          <w:lang w:eastAsia="ru-RU"/>
        </w:rPr>
        <w:t>По состоянию на 01.10.2019 в сравнении с началом года:</w:t>
      </w:r>
    </w:p>
    <w:p w14:paraId="09A88147" w14:textId="77777777" w:rsidR="00997540" w:rsidRPr="00E3487E" w:rsidRDefault="00997540" w:rsidP="00E3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48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численность безработных снизилась с 789 до 762 чел., или на 3,4%; </w:t>
      </w:r>
    </w:p>
    <w:p w14:paraId="20743B3D" w14:textId="77777777" w:rsidR="00997540" w:rsidRPr="00E3487E" w:rsidRDefault="00997540" w:rsidP="00E3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48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уровень безработицы снизился с 0,35% до 0,34%, или на 0,01 п.п.; </w:t>
      </w:r>
    </w:p>
    <w:p w14:paraId="261160B6" w14:textId="0DED749C" w:rsidR="00997540" w:rsidRPr="00E3487E" w:rsidRDefault="00997540" w:rsidP="00E3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48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коэффициент напряженности сократился с 0,35 до 0,31 чел. на одну вакансию, 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</w:t>
      </w:r>
      <w:r w:rsidRPr="00E3487E">
        <w:rPr>
          <w:rFonts w:ascii="Times New Roman" w:eastAsia="Times New Roman" w:hAnsi="Times New Roman" w:cs="Times New Roman"/>
          <w:sz w:val="24"/>
          <w:szCs w:val="28"/>
          <w:lang w:eastAsia="ru-RU"/>
        </w:rPr>
        <w:t>или на 0,04 п.п.;</w:t>
      </w:r>
    </w:p>
    <w:p w14:paraId="03B7FFE3" w14:textId="77777777" w:rsidR="00997540" w:rsidRPr="00E3487E" w:rsidRDefault="00997540" w:rsidP="00E3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48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число вакансий увеличилось с 3 278 до 3 663 ед., или на 11,7%.</w:t>
      </w:r>
    </w:p>
    <w:p w14:paraId="44E04BCE" w14:textId="6D54E0FC" w:rsidR="00997540" w:rsidRPr="00E3487E" w:rsidRDefault="00997540" w:rsidP="00E3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487E">
        <w:rPr>
          <w:rFonts w:ascii="Times New Roman" w:eastAsia="Times New Roman" w:hAnsi="Times New Roman" w:cs="Times New Roman"/>
          <w:sz w:val="24"/>
          <w:szCs w:val="28"/>
          <w:lang w:eastAsia="ru-RU"/>
        </w:rPr>
        <w:t>За январь-сентябрь 2019 года в ЦЗН обратилось за содействием в поиске подходящей работы 3 </w:t>
      </w:r>
      <w:r w:rsidR="00B643D2">
        <w:rPr>
          <w:rFonts w:ascii="Times New Roman" w:eastAsia="Times New Roman" w:hAnsi="Times New Roman" w:cs="Times New Roman"/>
          <w:sz w:val="24"/>
          <w:szCs w:val="28"/>
          <w:lang w:eastAsia="ru-RU"/>
        </w:rPr>
        <w:t>504 чел. (в январе-сентябре 2018</w:t>
      </w:r>
      <w:r w:rsidRPr="00E348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– 3 971), был трудоустроен 2</w:t>
      </w:r>
      <w:r w:rsidR="00161297" w:rsidRPr="00E3487E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E3487E">
        <w:rPr>
          <w:rFonts w:ascii="Times New Roman" w:eastAsia="Times New Roman" w:hAnsi="Times New Roman" w:cs="Times New Roman"/>
          <w:sz w:val="24"/>
          <w:szCs w:val="28"/>
          <w:lang w:eastAsia="ru-RU"/>
        </w:rPr>
        <w:t>151</w:t>
      </w:r>
      <w:r w:rsidR="00161297" w:rsidRPr="00E348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гражданин из числа безработных </w:t>
      </w:r>
      <w:r w:rsidRPr="00E3487E">
        <w:rPr>
          <w:rFonts w:ascii="Times New Roman" w:eastAsia="Times New Roman" w:hAnsi="Times New Roman" w:cs="Times New Roman"/>
          <w:sz w:val="24"/>
          <w:szCs w:val="28"/>
          <w:lang w:eastAsia="ru-RU"/>
        </w:rPr>
        <w:t>и ищущи</w:t>
      </w:r>
      <w:r w:rsidR="00161297" w:rsidRPr="00E3487E">
        <w:rPr>
          <w:rFonts w:ascii="Times New Roman" w:eastAsia="Times New Roman" w:hAnsi="Times New Roman" w:cs="Times New Roman"/>
          <w:sz w:val="24"/>
          <w:szCs w:val="28"/>
          <w:lang w:eastAsia="ru-RU"/>
        </w:rPr>
        <w:t>х</w:t>
      </w:r>
      <w:r w:rsidRPr="00E348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работу, коэффициент трудоустройства 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3487E">
        <w:rPr>
          <w:rFonts w:ascii="Times New Roman" w:eastAsia="Times New Roman" w:hAnsi="Times New Roman" w:cs="Times New Roman"/>
          <w:sz w:val="24"/>
          <w:szCs w:val="28"/>
          <w:lang w:eastAsia="ru-RU"/>
        </w:rPr>
        <w:t>с начала года составил 61,4% от численности обратившихся граждан.</w:t>
      </w:r>
    </w:p>
    <w:p w14:paraId="6BC8FB58" w14:textId="6C749017" w:rsidR="00997540" w:rsidRPr="00E3487E" w:rsidRDefault="00997540" w:rsidP="00E3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487E">
        <w:rPr>
          <w:rFonts w:ascii="Times New Roman" w:eastAsia="Times New Roman" w:hAnsi="Times New Roman" w:cs="Times New Roman"/>
          <w:sz w:val="24"/>
          <w:szCs w:val="28"/>
          <w:lang w:eastAsia="ru-RU"/>
        </w:rPr>
        <w:t>За 9 месяцев 2019 года в ЦЗН заявили 102 организации и предприятия</w:t>
      </w:r>
      <w:r w:rsidR="00E348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</w:t>
      </w:r>
      <w:r w:rsidRPr="00E3487E">
        <w:rPr>
          <w:rFonts w:ascii="Times New Roman" w:eastAsia="Times New Roman" w:hAnsi="Times New Roman" w:cs="Times New Roman"/>
          <w:sz w:val="24"/>
          <w:szCs w:val="28"/>
          <w:lang w:eastAsia="ru-RU"/>
        </w:rPr>
        <w:t>о предполагаемом высвобождении 928</w:t>
      </w:r>
      <w:r w:rsidR="00E348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работников (в январе-сентябре </w:t>
      </w:r>
      <w:r w:rsidRPr="00E348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2018 года – 135 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</w:t>
      </w:r>
      <w:r w:rsidRPr="00E348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947 соответственно) в связи с сокращением численности или штата (ликвидацией организаций). </w:t>
      </w:r>
    </w:p>
    <w:p w14:paraId="185F532F" w14:textId="0903E940" w:rsidR="00997540" w:rsidRPr="00E3487E" w:rsidRDefault="00997540" w:rsidP="00E3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487E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данным Ивановостат в январе-июле 2019 года среднесписочная численность работников по крупным и средним предприятиям (без внешних совместителей) составила 80,3 тыс. чел., ил</w:t>
      </w:r>
      <w:r w:rsidR="00E348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99,0% к аналогичному периоду </w:t>
      </w:r>
      <w:r w:rsidRPr="00E3487E">
        <w:rPr>
          <w:rFonts w:ascii="Times New Roman" w:eastAsia="Times New Roman" w:hAnsi="Times New Roman" w:cs="Times New Roman"/>
          <w:sz w:val="24"/>
          <w:szCs w:val="28"/>
          <w:lang w:eastAsia="ru-RU"/>
        </w:rPr>
        <w:t>2018 года. Одной из причин сокращения количества работников стали организационно-штатные решения предприятий, оказавшихся в сложной ситуации в связи с производственно-экономическими факторами.</w:t>
      </w:r>
    </w:p>
    <w:p w14:paraId="1C07016D" w14:textId="4EC8A32A" w:rsidR="00997540" w:rsidRPr="00E3487E" w:rsidRDefault="00997540" w:rsidP="00E3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3487E">
        <w:rPr>
          <w:rFonts w:ascii="Times New Roman" w:eastAsia="Times New Roman" w:hAnsi="Times New Roman" w:cs="Times New Roman"/>
          <w:sz w:val="24"/>
          <w:szCs w:val="28"/>
        </w:rPr>
        <w:t xml:space="preserve">Состояние рынка труда в среднесрочной перспективе в большей степени будет определяться мерами, направленными на нивелирование негативного влияния демографических тенденций, вызывающих нехватку рабочей силы, создание условий </w:t>
      </w:r>
      <w:r w:rsidR="00161EC6">
        <w:rPr>
          <w:rFonts w:ascii="Times New Roman" w:eastAsia="Times New Roman" w:hAnsi="Times New Roman" w:cs="Times New Roman"/>
          <w:sz w:val="24"/>
          <w:szCs w:val="28"/>
        </w:rPr>
        <w:t xml:space="preserve">            </w:t>
      </w:r>
      <w:r w:rsidRPr="00E3487E">
        <w:rPr>
          <w:rFonts w:ascii="Times New Roman" w:eastAsia="Times New Roman" w:hAnsi="Times New Roman" w:cs="Times New Roman"/>
          <w:sz w:val="24"/>
          <w:szCs w:val="28"/>
        </w:rPr>
        <w:t>для повышения уровня участия населения в составе рабочей силы, обновления структуры занятости и снижения уровня безработицы.</w:t>
      </w:r>
    </w:p>
    <w:p w14:paraId="53CE73C9" w14:textId="77777777" w:rsidR="00997540" w:rsidRDefault="00997540" w:rsidP="00E34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3487E">
        <w:rPr>
          <w:rFonts w:ascii="Times New Roman" w:eastAsia="Calibri" w:hAnsi="Times New Roman" w:cs="Times New Roman"/>
          <w:bCs/>
          <w:sz w:val="24"/>
          <w:szCs w:val="28"/>
        </w:rPr>
        <w:t>Поддержку рынку труда в 2019 - 2022 гг. окажет расширение границ трудоспособного возраста, а также реализуемая с 2014 года государственная программа Ивановской области «Содействие занятости населения Ивановской области» (далее – Программа занятости) и реализуемые новые направления программы, а именно:</w:t>
      </w:r>
    </w:p>
    <w:p w14:paraId="4A770803" w14:textId="23641F94" w:rsidR="00975DEE" w:rsidRPr="00E3487E" w:rsidRDefault="00975DEE" w:rsidP="00E34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3487E">
        <w:rPr>
          <w:rFonts w:ascii="Times New Roman" w:eastAsia="Calibri" w:hAnsi="Times New Roman" w:cs="Times New Roman"/>
          <w:bCs/>
          <w:sz w:val="24"/>
          <w:szCs w:val="28"/>
        </w:rPr>
        <w:t xml:space="preserve">- </w:t>
      </w:r>
      <w:r>
        <w:rPr>
          <w:rFonts w:ascii="Times New Roman" w:eastAsia="Calibri" w:hAnsi="Times New Roman" w:cs="Times New Roman"/>
          <w:bCs/>
          <w:sz w:val="24"/>
          <w:szCs w:val="28"/>
        </w:rPr>
        <w:t xml:space="preserve">   </w:t>
      </w:r>
      <w:r w:rsidRPr="00E3487E">
        <w:rPr>
          <w:rFonts w:ascii="Times New Roman" w:eastAsia="Calibri" w:hAnsi="Times New Roman" w:cs="Times New Roman"/>
          <w:bCs/>
          <w:sz w:val="24"/>
          <w:szCs w:val="28"/>
        </w:rPr>
        <w:t xml:space="preserve">мероприятия </w:t>
      </w:r>
      <w:r>
        <w:rPr>
          <w:rFonts w:ascii="Times New Roman" w:eastAsia="Calibri" w:hAnsi="Times New Roman" w:cs="Times New Roman"/>
          <w:bCs/>
          <w:sz w:val="24"/>
          <w:szCs w:val="28"/>
        </w:rPr>
        <w:t xml:space="preserve">  </w:t>
      </w:r>
      <w:r w:rsidRPr="00E3487E">
        <w:rPr>
          <w:rFonts w:ascii="Times New Roman" w:eastAsia="Calibri" w:hAnsi="Times New Roman" w:cs="Times New Roman"/>
          <w:bCs/>
          <w:sz w:val="24"/>
          <w:szCs w:val="28"/>
        </w:rPr>
        <w:t xml:space="preserve">по </w:t>
      </w:r>
      <w:r>
        <w:rPr>
          <w:rFonts w:ascii="Times New Roman" w:eastAsia="Calibri" w:hAnsi="Times New Roman" w:cs="Times New Roman"/>
          <w:bCs/>
          <w:sz w:val="24"/>
          <w:szCs w:val="28"/>
        </w:rPr>
        <w:t xml:space="preserve">   </w:t>
      </w:r>
      <w:r w:rsidRPr="00E3487E">
        <w:rPr>
          <w:rFonts w:ascii="Times New Roman" w:eastAsia="Calibri" w:hAnsi="Times New Roman" w:cs="Times New Roman"/>
          <w:bCs/>
          <w:sz w:val="24"/>
          <w:szCs w:val="28"/>
        </w:rPr>
        <w:t xml:space="preserve">содействию </w:t>
      </w:r>
      <w:r>
        <w:rPr>
          <w:rFonts w:ascii="Times New Roman" w:eastAsia="Calibri" w:hAnsi="Times New Roman" w:cs="Times New Roman"/>
          <w:bCs/>
          <w:sz w:val="24"/>
          <w:szCs w:val="28"/>
        </w:rPr>
        <w:t xml:space="preserve">  </w:t>
      </w:r>
      <w:r w:rsidRPr="00E3487E">
        <w:rPr>
          <w:rFonts w:ascii="Times New Roman" w:eastAsia="Calibri" w:hAnsi="Times New Roman" w:cs="Times New Roman"/>
          <w:bCs/>
          <w:sz w:val="24"/>
          <w:szCs w:val="28"/>
        </w:rPr>
        <w:t xml:space="preserve">занятости </w:t>
      </w:r>
      <w:r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Pr="00E3487E">
        <w:rPr>
          <w:rFonts w:ascii="Times New Roman" w:eastAsia="Calibri" w:hAnsi="Times New Roman" w:cs="Times New Roman"/>
          <w:bCs/>
          <w:sz w:val="24"/>
          <w:szCs w:val="28"/>
        </w:rPr>
        <w:t xml:space="preserve">граждан </w:t>
      </w:r>
      <w:r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Pr="00E3487E">
        <w:rPr>
          <w:rFonts w:ascii="Times New Roman" w:eastAsia="Calibri" w:hAnsi="Times New Roman" w:cs="Times New Roman"/>
          <w:bCs/>
          <w:sz w:val="24"/>
          <w:szCs w:val="28"/>
        </w:rPr>
        <w:t xml:space="preserve">предпенсионного </w:t>
      </w:r>
      <w:r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Pr="00E3487E">
        <w:rPr>
          <w:rFonts w:ascii="Times New Roman" w:eastAsia="Calibri" w:hAnsi="Times New Roman" w:cs="Times New Roman"/>
          <w:bCs/>
          <w:sz w:val="24"/>
          <w:szCs w:val="28"/>
        </w:rPr>
        <w:t xml:space="preserve">возраста </w:t>
      </w:r>
      <w:r>
        <w:rPr>
          <w:rFonts w:ascii="Times New Roman" w:eastAsia="Calibri" w:hAnsi="Times New Roman" w:cs="Times New Roman"/>
          <w:bCs/>
          <w:sz w:val="24"/>
          <w:szCs w:val="28"/>
        </w:rPr>
        <w:t xml:space="preserve">                </w:t>
      </w:r>
    </w:p>
    <w:p w14:paraId="323CC0E9" w14:textId="3859E3C1" w:rsidR="00997540" w:rsidRPr="00E3487E" w:rsidRDefault="00997540" w:rsidP="00975D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3487E">
        <w:rPr>
          <w:rFonts w:ascii="Times New Roman" w:eastAsia="Calibri" w:hAnsi="Times New Roman" w:cs="Times New Roman"/>
          <w:bCs/>
          <w:sz w:val="24"/>
          <w:szCs w:val="28"/>
        </w:rPr>
        <w:lastRenderedPageBreak/>
        <w:t xml:space="preserve">и женщин в период отпуска по уходу за ребенком до достижения им возраста трех лет (направлены на реализацию федеральных проектов «Старшее поколение» и «Содействие занятости женщин - создание условий дошкольного образования для детей в возрасте </w:t>
      </w:r>
      <w:r w:rsidR="00161EC6">
        <w:rPr>
          <w:rFonts w:ascii="Times New Roman" w:eastAsia="Calibri" w:hAnsi="Times New Roman" w:cs="Times New Roman"/>
          <w:bCs/>
          <w:sz w:val="24"/>
          <w:szCs w:val="28"/>
        </w:rPr>
        <w:t xml:space="preserve">             </w:t>
      </w:r>
      <w:r w:rsidRPr="00E3487E">
        <w:rPr>
          <w:rFonts w:ascii="Times New Roman" w:eastAsia="Calibri" w:hAnsi="Times New Roman" w:cs="Times New Roman"/>
          <w:bCs/>
          <w:sz w:val="24"/>
          <w:szCs w:val="28"/>
        </w:rPr>
        <w:t>до трех лет» национального проекта «Демография»);</w:t>
      </w:r>
    </w:p>
    <w:p w14:paraId="5FC16AC8" w14:textId="77777777" w:rsidR="00997540" w:rsidRPr="00E3487E" w:rsidRDefault="00997540" w:rsidP="00E34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3487E">
        <w:rPr>
          <w:rFonts w:ascii="Times New Roman" w:eastAsia="Calibri" w:hAnsi="Times New Roman" w:cs="Times New Roman"/>
          <w:bCs/>
          <w:sz w:val="24"/>
          <w:szCs w:val="28"/>
        </w:rPr>
        <w:t>- региональный проект «Поддержка занятости и повышение эффективности рынка труда для обеспечения роста производительности труда»;</w:t>
      </w:r>
    </w:p>
    <w:p w14:paraId="1A2A6715" w14:textId="77777777" w:rsidR="00997540" w:rsidRPr="00E3487E" w:rsidRDefault="00997540" w:rsidP="00E34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3487E">
        <w:rPr>
          <w:rFonts w:ascii="Times New Roman" w:eastAsia="Calibri" w:hAnsi="Times New Roman" w:cs="Times New Roman"/>
          <w:bCs/>
          <w:sz w:val="24"/>
          <w:szCs w:val="28"/>
        </w:rPr>
        <w:t xml:space="preserve">- оказание содействия добровольному переселению в Ивановскую область соотечественников, проживающих за рубежом. </w:t>
      </w:r>
    </w:p>
    <w:p w14:paraId="67C13DBC" w14:textId="620E7B6F" w:rsidR="00997540" w:rsidRPr="00E3487E" w:rsidRDefault="00997540" w:rsidP="00E3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48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Численность безработных по оценке к концу 2019 года сократится до 735 чел., 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  <w:r w:rsidRPr="00E3487E">
        <w:rPr>
          <w:rFonts w:ascii="Times New Roman" w:eastAsia="Times New Roman" w:hAnsi="Times New Roman" w:cs="Times New Roman"/>
          <w:sz w:val="24"/>
          <w:szCs w:val="28"/>
          <w:lang w:eastAsia="ru-RU"/>
        </w:rPr>
        <w:t>в 2020-2022 гг. она составит 735-730 чел. Уровень безработицы в 2019 году составит 0,33%, к концу 2022 года показатель сократится до 0,32%. Численность незанятых граждан на одну вакансию в 2019-2022 гг.  составит 0,32</w:t>
      </w:r>
      <w:r w:rsidR="00A73098" w:rsidRPr="00E348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3487E">
        <w:rPr>
          <w:rFonts w:ascii="Times New Roman" w:eastAsia="Times New Roman" w:hAnsi="Times New Roman" w:cs="Times New Roman"/>
          <w:sz w:val="24"/>
          <w:szCs w:val="28"/>
          <w:lang w:eastAsia="ru-RU"/>
        </w:rPr>
        <w:t>чел.</w:t>
      </w:r>
    </w:p>
    <w:p w14:paraId="7B6A3C78" w14:textId="6602F159" w:rsidR="00997540" w:rsidRPr="00E3487E" w:rsidRDefault="00997540" w:rsidP="00E3487E">
      <w:pPr>
        <w:spacing w:after="0" w:line="240" w:lineRule="auto"/>
        <w:ind w:firstLine="709"/>
        <w:jc w:val="both"/>
        <w:rPr>
          <w:sz w:val="20"/>
        </w:rPr>
      </w:pPr>
      <w:r w:rsidRPr="00E348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оценке в 2019 году </w:t>
      </w:r>
      <w:r w:rsidRPr="00E3487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среднесписочная численность работников организаций </w:t>
      </w:r>
      <w:r w:rsidR="00161EC6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</w:t>
      </w:r>
      <w:r w:rsidRPr="00E3487E">
        <w:rPr>
          <w:rFonts w:ascii="Times New Roman" w:eastAsia="Calibri" w:hAnsi="Times New Roman" w:cs="Times New Roman"/>
          <w:sz w:val="24"/>
          <w:szCs w:val="28"/>
          <w:lang w:eastAsia="ru-RU"/>
        </w:rPr>
        <w:t>(без внешних совместителей) увеличится на 1,2% по сравнению с 201</w:t>
      </w:r>
      <w:r w:rsidR="00E3487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8 годом </w:t>
      </w:r>
      <w:r w:rsidRPr="00E3487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и составит 139,36 тыс. чел. Ожидается, что в 2022 году  численность работников увеличится </w:t>
      </w:r>
      <w:r w:rsidR="00161EC6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</w:t>
      </w:r>
      <w:r w:rsidRPr="00E3487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до 144,4 тыс. чел., чему будет способствовать поэтапное повышение пенсионного возраста, проводимая работа по снижению неформальной занятости населения </w:t>
      </w:r>
      <w:r w:rsidR="00161EC6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</w:t>
      </w:r>
      <w:r w:rsidRPr="00E3487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и легализации трудовых отношений. Также увеличение среднесписочной численности работников организаций города Иванова в прогнозном периоде планируется за счет создания рабочих мест в результате реализации проектов такими организациями как </w:t>
      </w:r>
      <w:r w:rsidR="00161EC6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</w:t>
      </w:r>
      <w:r w:rsidRPr="00E3487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СГ «СОГАЗ», ЭХ «Интер РАО», ООО «Эй Кей Ресторанс Раша» (фирменные рестораны KFC), ООО «Ивановский машиностроительный завод АВТОКРАН», </w:t>
      </w:r>
      <w:r w:rsidR="00161EC6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</w:t>
      </w:r>
      <w:r w:rsidRPr="00E3487E">
        <w:rPr>
          <w:rFonts w:ascii="Times New Roman" w:eastAsia="Calibri" w:hAnsi="Times New Roman" w:cs="Times New Roman"/>
          <w:sz w:val="24"/>
          <w:szCs w:val="28"/>
          <w:lang w:eastAsia="ru-RU"/>
        </w:rPr>
        <w:t>ООО «Профессионал»</w:t>
      </w:r>
      <w:r w:rsidR="00E3487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, </w:t>
      </w:r>
      <w:r w:rsidRPr="00E3487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ООО «Нейрософт» и др. </w:t>
      </w:r>
    </w:p>
    <w:p w14:paraId="359ECC5E" w14:textId="77777777" w:rsidR="00997540" w:rsidRDefault="00997540" w:rsidP="00997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1306E5" w14:textId="77777777" w:rsidR="00997540" w:rsidRPr="00191EE7" w:rsidRDefault="00997540" w:rsidP="00997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378">
        <w:rPr>
          <w:noProof/>
          <w:lang w:eastAsia="ru-RU"/>
        </w:rPr>
        <w:drawing>
          <wp:inline distT="0" distB="0" distL="0" distR="0" wp14:anchorId="1146F9E9" wp14:editId="6AEE2C12">
            <wp:extent cx="5734050" cy="30670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CFC435F" w14:textId="77777777" w:rsidR="00997540" w:rsidRPr="007378D0" w:rsidRDefault="00997540" w:rsidP="00997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19EF3" w14:textId="4C531D87" w:rsidR="00997540" w:rsidRPr="00161EC6" w:rsidRDefault="00997540" w:rsidP="00997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2018 году сохранилась положительная динамика изменения размера средней номинальной заработной платы. Среднемесячная заработная плата работников в 2018 году сложилась в размере 28 333,8 руб., или 110,0% к уровню 2017 года, в том числе за счет индексации оплаты труда работников бюджетной сферы и увеличения с 01.01.2018 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и с 01.05.2018 минимального ра</w:t>
      </w:r>
      <w:r w:rsidR="00DF2AC8"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змера оплаты труда (МРОТ) до 11 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163 руб. Фонд начисленной заработной платы составил 46 828,97 млн руб., или 110,1% к уровню 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2017 года.</w:t>
      </w:r>
    </w:p>
    <w:p w14:paraId="5D2BD1D4" w14:textId="2BA0AEBE" w:rsidR="00997540" w:rsidRPr="00161EC6" w:rsidRDefault="00997540" w:rsidP="009975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оценке в 2019 году среднемесячная номинальная начисленная заработная плата работников составит 30 062,20 руб., в том числе за счет увеличен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ного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01.01.2019 размера МРОТ до 11 280,0 руб. и индексации оплаты труда работников бюджетной сферы 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с 01.10.2019 на 4,4%. Темп ее роста составит </w:t>
      </w:r>
      <w:r w:rsidR="00DF2AC8"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106,1% к 2018 году, замедление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темпа р</w:t>
      </w:r>
      <w:r w:rsidR="00DF2AC8"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оста по сравнению с 2018 годом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в первую очередь произошло из-за формирования высокой базы сравнения в предыдущем году в результате доведения до целевого уровня оплаты труда работников социальной сферы и доведения размера МРОТ до прожиточного минимума. Фонд начисленной заработной платы составит 50 273,62 млн руб., или 107,36% к уровню 2018 года.</w:t>
      </w:r>
    </w:p>
    <w:p w14:paraId="751D8E19" w14:textId="407C2563" w:rsidR="00997540" w:rsidRPr="00161EC6" w:rsidRDefault="00997540" w:rsidP="009975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161EC6">
        <w:rPr>
          <w:rFonts w:ascii="Times New Roman" w:hAnsi="Times New Roman" w:cs="Times New Roman"/>
          <w:sz w:val="24"/>
          <w:szCs w:val="28"/>
        </w:rPr>
        <w:t xml:space="preserve">По сравнению с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прогнозом на 2019</w:t>
      </w:r>
      <w:r w:rsidR="00DF2AC8"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2021 гг. размер среднемесячной заработной платы на плановый период скорректирован в сторону увеличения.</w:t>
      </w:r>
    </w:p>
    <w:p w14:paraId="09E15E5B" w14:textId="2733B329" w:rsidR="00997540" w:rsidRPr="00161EC6" w:rsidRDefault="00997540" w:rsidP="00997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дальнейшем прогнозируется положительная тенденция изменения размера средней номинальной заработной 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платы благодаря реализации мер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повышению уровня жизни населени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я, ежегодное установление МРОТ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на федеральном уровне в размере в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еличины прожиточного минимума,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 также проведение ежегодной индексации заработной платы работников организаций бюджетной сферы. </w:t>
      </w:r>
      <w:r w:rsidRPr="00161EC6">
        <w:rPr>
          <w:sz w:val="20"/>
        </w:rPr>
        <w:t xml:space="preserve">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Ежегодный рост заработной платы в 2020-2022 гг. составит 5,4%, 6,0% и 6,5%, увеличившись к 2022 году до 35 769,8 руб., или 119,0% к 2019 году. </w:t>
      </w:r>
    </w:p>
    <w:p w14:paraId="25ED738B" w14:textId="4E5C7BAD" w:rsidR="00997540" w:rsidRPr="00161EC6" w:rsidRDefault="00997540" w:rsidP="00997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Фонд заработной платы в 2020-2022 гг. будет увеличиваться в связи с ростом средней заработной платы и увеличением среднесписочной численности работников, 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2022 году он составит 61 999,08 млн руб. </w:t>
      </w:r>
    </w:p>
    <w:p w14:paraId="217674F6" w14:textId="1A9CDAA5" w:rsidR="00997540" w:rsidRPr="00161EC6" w:rsidRDefault="00997540" w:rsidP="00997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данным Пенсионного фонда РФ в городских округах Иванове, Кохме 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Ивановском муниципальном районе (далее – ПФРФ) в 2018 году средний размер назначенных месячных пенсий пенсионеров, состоящих на учете 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отделениях ПФРФ             по г. Иваново,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составил 13 799,39 руб., рост к 2017 году составил 106,87%.</w:t>
      </w:r>
    </w:p>
    <w:p w14:paraId="5871D68F" w14:textId="4FA76C08" w:rsidR="00997540" w:rsidRPr="00161EC6" w:rsidRDefault="00997540" w:rsidP="00997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оценке в 2019 году средний размер назначенных месячных пенсий пенсионерам, состоящих на уче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 в отделениях ПФРФ, составит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13 884,55 руб., темп роста к 2018 году – 100,62%. В прогнозном периоде средний размер назначенных месячных пенсий будет ежегодно увеличиваться на 6,6%, 6,3%, 5,9% и к 2022 году составит 16 661,66 руб.</w:t>
      </w:r>
    </w:p>
    <w:p w14:paraId="224119F2" w14:textId="368A831A" w:rsidR="00997540" w:rsidRPr="00161EC6" w:rsidRDefault="00997540" w:rsidP="00997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данным ПФРФ численность работающих пенсионеров в областном центре 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2018 году составила 26 054 чел., по оценке в 2019 году она составит 24 083 чел., 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или 92,4% к 2018 году, что связано с увеличением сроков (возраста) выхода на пенсию 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 мужчин с 60 до 65 лет, у женщин с 55 до 60 лет. В прогнозном периоде ожидается, что численность работающих пенсионеров по городу Иванову сократится до 23 800 чел. 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2022 году. </w:t>
      </w:r>
    </w:p>
    <w:p w14:paraId="5FDB7F10" w14:textId="77777777" w:rsidR="00F06B5E" w:rsidRPr="00161EC6" w:rsidRDefault="00F06B5E" w:rsidP="00C0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2A66F18" w14:textId="77777777" w:rsidR="007B58B3" w:rsidRPr="00161EC6" w:rsidRDefault="00B74D1F" w:rsidP="00F06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61E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7</w:t>
      </w:r>
      <w:r w:rsidR="007B58B3" w:rsidRPr="00161E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 Развитие социальной сферы</w:t>
      </w:r>
    </w:p>
    <w:p w14:paraId="75B31B2E" w14:textId="77777777" w:rsidR="00DF2AC8" w:rsidRPr="00161EC6" w:rsidRDefault="00DF2AC8" w:rsidP="00D87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46009CDF" w14:textId="77777777" w:rsidR="00D87560" w:rsidRDefault="00D87560" w:rsidP="00161E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161EC6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Дошкольное образование</w:t>
      </w:r>
    </w:p>
    <w:p w14:paraId="7AD43D7B" w14:textId="77777777" w:rsidR="00161EC6" w:rsidRPr="00161EC6" w:rsidRDefault="00161EC6" w:rsidP="00D87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27A0B987" w14:textId="5E1494F9" w:rsidR="00D87560" w:rsidRPr="00161EC6" w:rsidRDefault="00D87560" w:rsidP="00161E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Показатели по дошкольному образованию скорректированы по сравнению 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</w:t>
      </w:r>
      <w:r w:rsidRPr="00161EC6">
        <w:rPr>
          <w:rFonts w:ascii="Times New Roman" w:eastAsia="Calibri" w:hAnsi="Times New Roman" w:cs="Times New Roman"/>
          <w:sz w:val="24"/>
          <w:szCs w:val="28"/>
        </w:rPr>
        <w:t>прогнозом на 2019</w:t>
      </w:r>
      <w:r w:rsidR="009D483E" w:rsidRPr="00161EC6">
        <w:rPr>
          <w:rFonts w:ascii="Times New Roman" w:eastAsia="Calibri" w:hAnsi="Times New Roman" w:cs="Times New Roman"/>
          <w:sz w:val="24"/>
          <w:szCs w:val="28"/>
        </w:rPr>
        <w:t xml:space="preserve">-2021 гг. </w:t>
      </w:r>
      <w:r w:rsidRPr="00161EC6">
        <w:rPr>
          <w:rFonts w:ascii="Times New Roman" w:eastAsia="Calibri" w:hAnsi="Times New Roman" w:cs="Times New Roman"/>
          <w:sz w:val="24"/>
          <w:szCs w:val="28"/>
        </w:rPr>
        <w:t>и приведены</w:t>
      </w:r>
      <w:r w:rsidR="00B44DE1" w:rsidRPr="00161EC6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161EC6">
        <w:rPr>
          <w:rFonts w:ascii="Times New Roman" w:eastAsia="Calibri" w:hAnsi="Times New Roman" w:cs="Times New Roman"/>
          <w:sz w:val="24"/>
          <w:szCs w:val="28"/>
        </w:rPr>
        <w:t>в соответствие</w:t>
      </w:r>
      <w:r w:rsidR="009D483E" w:rsidRPr="00161EC6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161EC6">
        <w:rPr>
          <w:rFonts w:ascii="Times New Roman" w:eastAsia="Calibri" w:hAnsi="Times New Roman" w:cs="Times New Roman"/>
          <w:sz w:val="24"/>
          <w:szCs w:val="28"/>
        </w:rPr>
        <w:t>с муниципальной программой «Развитие образования города Иванова»</w:t>
      </w:r>
      <w:r w:rsidRPr="00161EC6">
        <w:rPr>
          <w:rStyle w:val="a7"/>
          <w:rFonts w:ascii="Times New Roman" w:eastAsia="Calibri" w:hAnsi="Times New Roman" w:cs="Times New Roman"/>
          <w:sz w:val="24"/>
          <w:szCs w:val="28"/>
        </w:rPr>
        <w:footnoteReference w:id="10"/>
      </w:r>
      <w:r w:rsidRPr="00161EC6">
        <w:rPr>
          <w:rFonts w:ascii="Times New Roman" w:eastAsia="Calibri" w:hAnsi="Times New Roman" w:cs="Times New Roman"/>
          <w:sz w:val="24"/>
          <w:szCs w:val="28"/>
        </w:rPr>
        <w:t>.</w:t>
      </w:r>
    </w:p>
    <w:p w14:paraId="5BFA2996" w14:textId="05740186" w:rsidR="00D87560" w:rsidRPr="00161EC6" w:rsidRDefault="00D87560" w:rsidP="00161E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В 2018 году в городском округе Ива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ново осуществляли деятельность                          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143 дошкольных образовательных учреждения (в 2017 году – 145</w:t>
      </w:r>
      <w:r w:rsidRPr="00161EC6">
        <w:rPr>
          <w:rStyle w:val="a7"/>
          <w:rFonts w:ascii="Times New Roman" w:eastAsia="Times New Roman" w:hAnsi="Times New Roman" w:cs="Times New Roman"/>
          <w:sz w:val="24"/>
          <w:szCs w:val="28"/>
          <w:lang w:eastAsia="ru-RU"/>
        </w:rPr>
        <w:footnoteReference w:id="11"/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), в том числе 135</w:t>
      </w:r>
      <w:r w:rsidR="00B44DE1"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муниципальных дошкольных образовательных учреждений (далее – МДОУ), 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 </w:t>
      </w:r>
      <w:r w:rsidR="00B44DE1"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муниципальных учреждени</w:t>
      </w:r>
      <w:r w:rsidR="00B44DE1"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дополнительного образования (МУДО)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 – негосударственных образовательных учреждений (далее – НОУ) (в 2017 году – 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135, 3 и 7 соответственно). Снижение общего числа дошкольных образовательных учрежден</w:t>
      </w:r>
      <w:r w:rsidR="0029172E"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ий в 2018 году произошло по следующим прич</w:t>
      </w:r>
      <w:r w:rsidR="00330BCB"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="0029172E"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нам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14:paraId="271A4C84" w14:textId="4CF68057" w:rsidR="00D87560" w:rsidRPr="00161EC6" w:rsidRDefault="00D87560" w:rsidP="00161E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29172E"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прекращением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оказания услуги «Дошкольное образование» ЧОУ «Академия детской культуры и творчества»;</w:t>
      </w:r>
    </w:p>
    <w:p w14:paraId="36F62272" w14:textId="77777777" w:rsidR="00D87560" w:rsidRPr="00161EC6" w:rsidRDefault="00D87560" w:rsidP="00161E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- ввиду перехода «Детский сад № 87 ОАО «РЖД» в муниципальную собственность</w:t>
      </w:r>
      <w:r w:rsidRPr="00161EC6">
        <w:rPr>
          <w:rStyle w:val="a7"/>
          <w:rFonts w:ascii="Times New Roman" w:eastAsia="Times New Roman" w:hAnsi="Times New Roman" w:cs="Times New Roman"/>
          <w:sz w:val="24"/>
          <w:szCs w:val="28"/>
          <w:lang w:eastAsia="ru-RU"/>
        </w:rPr>
        <w:footnoteReference w:id="12"/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форме присоединения к МБДОУ «Детский сад № 132».</w:t>
      </w:r>
    </w:p>
    <w:p w14:paraId="454ED21B" w14:textId="7D413AEF" w:rsidR="0029172E" w:rsidRPr="00161EC6" w:rsidRDefault="00D87560" w:rsidP="00161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Численность обучающихся по основным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общеобразовательным программам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дошкольного образования в 2018 году составила 23,03 тыс. чел. (в 2017 году –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22,64 тыс. чел.), в том числе: МДОУ – 22,63 тыс. чел., МУДО – 58 чел. и НОУ – 333 чел.</w:t>
      </w:r>
      <w:r w:rsidR="0029172E"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29172E"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целом увеличение количества детей произошло путем уплотнения групп в действующих муниципальных дошкольных учреждениях и негосударственном секторе. </w:t>
      </w:r>
    </w:p>
    <w:p w14:paraId="1FD9F62C" w14:textId="02F1DD09" w:rsidR="00D87560" w:rsidRPr="00161EC6" w:rsidRDefault="00D87560" w:rsidP="00161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В 2018 году в МДОУ</w:t>
      </w:r>
      <w:r w:rsidRPr="00161E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введено</w:t>
      </w:r>
      <w:r w:rsidRPr="00161E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6435B5"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187 мест (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167 мест</w:t>
      </w:r>
      <w:r w:rsidR="006435B5"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 счет принятия</w:t>
      </w:r>
      <w:r w:rsidRPr="00161EC6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 </w:t>
      </w:r>
      <w:r w:rsidR="00161EC6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                              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муниципальную собственность города Иванова частного образовательного учреждения «Детский сад № 87 ОАО «РЖД» и </w:t>
      </w:r>
      <w:r w:rsidR="006435B5"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20 мест – за счет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открытия дополнительной группы 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в МБДОУ «Детский сад № 30).</w:t>
      </w:r>
    </w:p>
    <w:p w14:paraId="45C65CBF" w14:textId="13B951ED" w:rsidR="00D87560" w:rsidRPr="00161EC6" w:rsidRDefault="00D87560" w:rsidP="00161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Показатель обеспеченности дошкольными учреждениями в 2018 году составил 821,6 мест на 1000 детей дошкольного возраста (в 2017 году – 818,5). Увеличение показателя обусловлено ростом числа детей дошкольного возраста в 2018 году на 1,3% 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сравнению с 2017 годом с одновременным увеличением мест в дошкольных учреждениях в 2018 году большими темпами – на 1,7% по сравнению с 2017 годом. </w:t>
      </w:r>
    </w:p>
    <w:p w14:paraId="65E0D916" w14:textId="6320E16A" w:rsidR="00D87560" w:rsidRPr="00161EC6" w:rsidRDefault="00D87560" w:rsidP="00161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01.10.2019 в городском округе Иваново оказывают услугу «Дошкольное образование» 144 дошкольных образовательных учреждения (136 – МДОУ, 3 – МУДО 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5 – НОУ). Увеличение общего числа дошкольных образовательных учреждений произошло в муниципальном секторе за счет реорганизации в январе 2019 года 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МБДОУ «Детский сад № 132» путем выделения из него МБДОУ «Детский сад № 87»</w:t>
      </w:r>
      <w:r w:rsidRPr="00161EC6">
        <w:rPr>
          <w:rStyle w:val="a7"/>
          <w:rFonts w:ascii="Times New Roman" w:eastAsia="Times New Roman" w:hAnsi="Times New Roman" w:cs="Times New Roman"/>
          <w:sz w:val="24"/>
          <w:szCs w:val="28"/>
          <w:lang w:eastAsia="ru-RU"/>
        </w:rPr>
        <w:footnoteReference w:id="13"/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7DF508B1" w14:textId="37E93D3F" w:rsidR="00D87560" w:rsidRPr="00161EC6" w:rsidRDefault="00D87560" w:rsidP="00161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оценке к концу 2019 года</w:t>
      </w:r>
      <w:r w:rsidRPr="00161EC6">
        <w:rPr>
          <w:sz w:val="20"/>
        </w:rPr>
        <w:t xml:space="preserve"> </w:t>
      </w:r>
      <w:r w:rsidRPr="00161EC6">
        <w:rPr>
          <w:rFonts w:ascii="Times New Roman" w:hAnsi="Times New Roman" w:cs="Times New Roman"/>
          <w:sz w:val="24"/>
          <w:szCs w:val="28"/>
        </w:rPr>
        <w:t>численность</w:t>
      </w:r>
      <w:r w:rsidRPr="00161EC6">
        <w:rPr>
          <w:sz w:val="20"/>
        </w:rPr>
        <w:t xml:space="preserve">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детей в МДОУ и МУДО увеличится 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 22,96 чел. Общая численность детей, получающих услугу дошкольного образования 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в образовательных учреждениях гор</w:t>
      </w:r>
      <w:r w:rsidR="0029172E"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ода, составит 23,3 тыс. чел. </w:t>
      </w:r>
    </w:p>
    <w:p w14:paraId="3C5B5720" w14:textId="5C95762C" w:rsidR="00D87560" w:rsidRPr="00161EC6" w:rsidRDefault="00D87560" w:rsidP="00161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В 2019 году планируется ввести</w:t>
      </w:r>
      <w:r w:rsidRPr="00161E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268 мест за счет</w:t>
      </w:r>
      <w:r w:rsidRPr="00161E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уплотнения групп в действующих МДОУ (96 мест) и открытия новых групп – 172 места, из них: в январе 2019 года открыта группа для детей раннего возраста в МБДОУ «Детский сад № 1» (микрорайон Московский) на 20 мест, в феврале – группа для детей раннего возраста 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МБДОУ «Детский сад № 26» на 22 места. До конца 2019 года будут открыты группы 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детей раннего возраста в:</w:t>
      </w:r>
    </w:p>
    <w:p w14:paraId="172A44F6" w14:textId="77777777" w:rsidR="00D87560" w:rsidRPr="00161EC6" w:rsidRDefault="00D87560" w:rsidP="00161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- МБДОУ «Детский сад № 17» – 20 мест;</w:t>
      </w:r>
    </w:p>
    <w:p w14:paraId="4BA45F24" w14:textId="77777777" w:rsidR="00D87560" w:rsidRPr="00161EC6" w:rsidRDefault="00D87560" w:rsidP="00161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- МБДОУ «Детский сад № 44»– 22 места;</w:t>
      </w:r>
    </w:p>
    <w:p w14:paraId="7BE2D6BE" w14:textId="77777777" w:rsidR="00D87560" w:rsidRPr="00161EC6" w:rsidRDefault="00D87560" w:rsidP="00161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- МБДОУ «Детский сад № 127» –22 места;</w:t>
      </w:r>
    </w:p>
    <w:p w14:paraId="48554217" w14:textId="77777777" w:rsidR="00D87560" w:rsidRPr="00161EC6" w:rsidRDefault="00D87560" w:rsidP="00161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МБДОУ «Детский сад № 87» – 66 мест. </w:t>
      </w:r>
    </w:p>
    <w:p w14:paraId="09D54AFE" w14:textId="6906D17A" w:rsidR="00D87560" w:rsidRPr="00161EC6" w:rsidRDefault="0029172E" w:rsidP="00161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Кроме того, </w:t>
      </w:r>
      <w:r w:rsidR="00D87560"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в 2019 году будет завершено с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троительство детского сада                             </w:t>
      </w:r>
      <w:r w:rsidR="00D87560"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в микрорайоне «Рождественский» на 240 мест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(планируемое функционирование                   </w:t>
      </w:r>
      <w:r w:rsidR="00D87560"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с 2020 года).</w:t>
      </w:r>
    </w:p>
    <w:p w14:paraId="56AAB58F" w14:textId="459F1574" w:rsidR="00D87560" w:rsidRPr="00161EC6" w:rsidRDefault="00D87560" w:rsidP="00161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Показатель обеспеченности дошкольными учреждениями в 2019 году оценочно составит 834,1 мест на 1000 детей дошкольного возраста (в 2018 году – 821,6) за счет увеличения мест в дошкольных учреждениях в 2019 году на 1,2% по сравнению 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2018 годом, что выше показателей запланированных в прогнозе </w:t>
      </w:r>
      <w:r w:rsidR="0029172E" w:rsidRPr="00161EC6">
        <w:rPr>
          <w:rFonts w:ascii="Times New Roman" w:eastAsia="Calibri" w:hAnsi="Times New Roman" w:cs="Times New Roman"/>
          <w:sz w:val="24"/>
          <w:szCs w:val="28"/>
        </w:rPr>
        <w:t>на 2019</w:t>
      </w:r>
      <w:r w:rsidR="001B66FF" w:rsidRPr="00161EC6">
        <w:rPr>
          <w:rFonts w:ascii="Times New Roman" w:eastAsia="Calibri" w:hAnsi="Times New Roman" w:cs="Times New Roman"/>
          <w:sz w:val="24"/>
          <w:szCs w:val="28"/>
        </w:rPr>
        <w:t>-</w:t>
      </w:r>
      <w:r w:rsidRPr="00161EC6">
        <w:rPr>
          <w:rFonts w:ascii="Times New Roman" w:eastAsia="Calibri" w:hAnsi="Times New Roman" w:cs="Times New Roman"/>
          <w:sz w:val="24"/>
          <w:szCs w:val="28"/>
        </w:rPr>
        <w:t>2021 гг.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14:paraId="6E040D22" w14:textId="0306DEB5" w:rsidR="00D87560" w:rsidRPr="00161EC6" w:rsidRDefault="00D87560" w:rsidP="00161E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61EC6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В прогнозном периоде 2020-2022 гг. показатель обеспеченности детскими дошкольными учреждениями скорректирован в сторону увеличения по сравнению </w:t>
      </w:r>
      <w:r w:rsidR="00161EC6">
        <w:rPr>
          <w:rFonts w:ascii="Times New Roman" w:eastAsia="Calibri" w:hAnsi="Times New Roman" w:cs="Times New Roman"/>
          <w:sz w:val="24"/>
          <w:szCs w:val="28"/>
        </w:rPr>
        <w:t xml:space="preserve">                    </w:t>
      </w:r>
      <w:r w:rsidRPr="00161EC6">
        <w:rPr>
          <w:rFonts w:ascii="Times New Roman" w:eastAsia="Calibri" w:hAnsi="Times New Roman" w:cs="Times New Roman"/>
          <w:sz w:val="24"/>
          <w:szCs w:val="28"/>
        </w:rPr>
        <w:t>с прогнозом на 2019</w:t>
      </w:r>
      <w:r w:rsidR="0012352E" w:rsidRPr="00161EC6">
        <w:rPr>
          <w:rFonts w:ascii="Times New Roman" w:eastAsia="Calibri" w:hAnsi="Times New Roman" w:cs="Times New Roman"/>
          <w:sz w:val="24"/>
          <w:szCs w:val="28"/>
        </w:rPr>
        <w:t xml:space="preserve"> -2021 гг.</w:t>
      </w:r>
      <w:r w:rsidRPr="00161EC6">
        <w:rPr>
          <w:rFonts w:ascii="Times New Roman" w:eastAsia="Calibri" w:hAnsi="Times New Roman" w:cs="Times New Roman"/>
          <w:sz w:val="24"/>
          <w:szCs w:val="28"/>
        </w:rPr>
        <w:t xml:space="preserve"> в связи с планируемым открытием дошкольных учреждений и дополнительных групп в существующих детских садах.</w:t>
      </w:r>
    </w:p>
    <w:p w14:paraId="2C78B78E" w14:textId="399A77E2" w:rsidR="00D87560" w:rsidRPr="00161EC6" w:rsidRDefault="00D87560" w:rsidP="00161E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61EC6">
        <w:rPr>
          <w:rFonts w:ascii="Times New Roman" w:eastAsia="Calibri" w:hAnsi="Times New Roman" w:cs="Times New Roman"/>
          <w:sz w:val="24"/>
          <w:szCs w:val="28"/>
        </w:rPr>
        <w:t>В 2020 году планируется завершение капитального ремонта д</w:t>
      </w:r>
      <w:r w:rsidR="00161EC6">
        <w:rPr>
          <w:rFonts w:ascii="Times New Roman" w:eastAsia="Calibri" w:hAnsi="Times New Roman" w:cs="Times New Roman"/>
          <w:sz w:val="24"/>
          <w:szCs w:val="28"/>
        </w:rPr>
        <w:t xml:space="preserve">вух групп </w:t>
      </w:r>
      <w:r w:rsidRPr="00161EC6">
        <w:rPr>
          <w:rFonts w:ascii="Times New Roman" w:eastAsia="Calibri" w:hAnsi="Times New Roman" w:cs="Times New Roman"/>
          <w:sz w:val="24"/>
          <w:szCs w:val="28"/>
        </w:rPr>
        <w:t>на 44 места в дошкольном отдел</w:t>
      </w:r>
      <w:r w:rsidR="00161EC6">
        <w:rPr>
          <w:rFonts w:ascii="Times New Roman" w:eastAsia="Calibri" w:hAnsi="Times New Roman" w:cs="Times New Roman"/>
          <w:sz w:val="24"/>
          <w:szCs w:val="28"/>
        </w:rPr>
        <w:t xml:space="preserve">ении МБОУ «Средняя школа № 65» </w:t>
      </w:r>
      <w:r w:rsidRPr="00161EC6">
        <w:rPr>
          <w:rFonts w:ascii="Times New Roman" w:eastAsia="Calibri" w:hAnsi="Times New Roman" w:cs="Times New Roman"/>
          <w:sz w:val="24"/>
          <w:szCs w:val="28"/>
        </w:rPr>
        <w:t>(ул. Шувандиной, 84), а также завершени</w:t>
      </w:r>
      <w:r w:rsidR="00161EC6">
        <w:rPr>
          <w:rFonts w:ascii="Times New Roman" w:eastAsia="Calibri" w:hAnsi="Times New Roman" w:cs="Times New Roman"/>
          <w:sz w:val="24"/>
          <w:szCs w:val="28"/>
        </w:rPr>
        <w:t xml:space="preserve">е строительства двух пристроек </w:t>
      </w:r>
      <w:r w:rsidRPr="00161EC6">
        <w:rPr>
          <w:rFonts w:ascii="Times New Roman" w:eastAsia="Calibri" w:hAnsi="Times New Roman" w:cs="Times New Roman"/>
          <w:sz w:val="24"/>
          <w:szCs w:val="28"/>
        </w:rPr>
        <w:t>к МБДОУ «Детский сад № 152» на 57 м</w:t>
      </w:r>
      <w:r w:rsidR="00161EC6">
        <w:rPr>
          <w:rFonts w:ascii="Times New Roman" w:eastAsia="Calibri" w:hAnsi="Times New Roman" w:cs="Times New Roman"/>
          <w:sz w:val="24"/>
          <w:szCs w:val="28"/>
        </w:rPr>
        <w:t xml:space="preserve">ест                 и МБДОУ «Детский сад № 75» </w:t>
      </w:r>
      <w:r w:rsidRPr="00161EC6">
        <w:rPr>
          <w:rFonts w:ascii="Times New Roman" w:eastAsia="Calibri" w:hAnsi="Times New Roman" w:cs="Times New Roman"/>
          <w:sz w:val="24"/>
          <w:szCs w:val="28"/>
        </w:rPr>
        <w:t xml:space="preserve">на 90 мест. </w:t>
      </w:r>
    </w:p>
    <w:p w14:paraId="2E269323" w14:textId="60D5DE6E" w:rsidR="00D87560" w:rsidRPr="00161EC6" w:rsidRDefault="00D87560" w:rsidP="00161E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61EC6">
        <w:rPr>
          <w:rFonts w:ascii="Times New Roman" w:eastAsia="Calibri" w:hAnsi="Times New Roman" w:cs="Times New Roman"/>
          <w:sz w:val="24"/>
          <w:szCs w:val="28"/>
        </w:rPr>
        <w:t>В 2021 году планируется открытие</w:t>
      </w:r>
      <w:r w:rsidR="00161EC6">
        <w:rPr>
          <w:rFonts w:ascii="Times New Roman" w:eastAsia="Calibri" w:hAnsi="Times New Roman" w:cs="Times New Roman"/>
          <w:sz w:val="24"/>
          <w:szCs w:val="28"/>
        </w:rPr>
        <w:t xml:space="preserve"> 2 корпуса МБДОУ «Детский сад </w:t>
      </w:r>
      <w:r w:rsidRPr="00161EC6">
        <w:rPr>
          <w:rFonts w:ascii="Times New Roman" w:eastAsia="Calibri" w:hAnsi="Times New Roman" w:cs="Times New Roman"/>
          <w:sz w:val="24"/>
          <w:szCs w:val="28"/>
        </w:rPr>
        <w:t xml:space="preserve">№ 157» </w:t>
      </w:r>
      <w:r w:rsidR="00161EC6">
        <w:rPr>
          <w:rFonts w:ascii="Times New Roman" w:eastAsia="Calibri" w:hAnsi="Times New Roman" w:cs="Times New Roman"/>
          <w:sz w:val="24"/>
          <w:szCs w:val="28"/>
        </w:rPr>
        <w:t xml:space="preserve">                   </w:t>
      </w:r>
      <w:r w:rsidRPr="00161EC6">
        <w:rPr>
          <w:rFonts w:ascii="Times New Roman" w:eastAsia="Calibri" w:hAnsi="Times New Roman" w:cs="Times New Roman"/>
          <w:sz w:val="24"/>
          <w:szCs w:val="28"/>
        </w:rPr>
        <w:t xml:space="preserve">(ул. Шестернина, 14) на 80 мест, </w:t>
      </w:r>
      <w:r w:rsidR="00161EC6">
        <w:rPr>
          <w:rFonts w:ascii="Times New Roman" w:eastAsia="Calibri" w:hAnsi="Times New Roman" w:cs="Times New Roman"/>
          <w:sz w:val="24"/>
          <w:szCs w:val="28"/>
        </w:rPr>
        <w:t xml:space="preserve">3 групп (ул. 2-я Лагерная, д. 51) </w:t>
      </w:r>
      <w:r w:rsidRPr="00161EC6">
        <w:rPr>
          <w:rFonts w:ascii="Times New Roman" w:eastAsia="Calibri" w:hAnsi="Times New Roman" w:cs="Times New Roman"/>
          <w:sz w:val="24"/>
          <w:szCs w:val="28"/>
        </w:rPr>
        <w:t xml:space="preserve">на 60 мест (будут отнесены к МБДОУ «Детский сад № 67»), а также открытие дополнительных групп </w:t>
      </w:r>
      <w:r w:rsidR="00161EC6">
        <w:rPr>
          <w:rFonts w:ascii="Times New Roman" w:eastAsia="Calibri" w:hAnsi="Times New Roman" w:cs="Times New Roman"/>
          <w:sz w:val="24"/>
          <w:szCs w:val="28"/>
        </w:rPr>
        <w:t xml:space="preserve">                  </w:t>
      </w:r>
      <w:r w:rsidRPr="00161EC6">
        <w:rPr>
          <w:rFonts w:ascii="Times New Roman" w:eastAsia="Calibri" w:hAnsi="Times New Roman" w:cs="Times New Roman"/>
          <w:sz w:val="24"/>
          <w:szCs w:val="28"/>
        </w:rPr>
        <w:t xml:space="preserve">в МАДОУ </w:t>
      </w:r>
      <w:r w:rsidR="00161EC6">
        <w:rPr>
          <w:rFonts w:ascii="Times New Roman" w:eastAsia="Calibri" w:hAnsi="Times New Roman" w:cs="Times New Roman"/>
          <w:sz w:val="24"/>
          <w:szCs w:val="28"/>
        </w:rPr>
        <w:t xml:space="preserve">«Детский сад № 192» на 20 мест </w:t>
      </w:r>
      <w:r w:rsidRPr="00161EC6">
        <w:rPr>
          <w:rFonts w:ascii="Times New Roman" w:eastAsia="Calibri" w:hAnsi="Times New Roman" w:cs="Times New Roman"/>
          <w:sz w:val="24"/>
          <w:szCs w:val="28"/>
        </w:rPr>
        <w:t xml:space="preserve">и МБДОУ «Детский сад № 44» на 24 места. Кроме того, планируется завершение строительства детского сада в микрорайоне «Видный» (ул. 1-я Камвольная) на 240 мест (планируемое функционирование </w:t>
      </w:r>
      <w:r w:rsidR="00161EC6">
        <w:rPr>
          <w:rFonts w:ascii="Times New Roman" w:eastAsia="Calibri" w:hAnsi="Times New Roman" w:cs="Times New Roman"/>
          <w:sz w:val="24"/>
          <w:szCs w:val="28"/>
        </w:rPr>
        <w:t xml:space="preserve">                            </w:t>
      </w:r>
      <w:r w:rsidRPr="00161EC6">
        <w:rPr>
          <w:rFonts w:ascii="Times New Roman" w:eastAsia="Calibri" w:hAnsi="Times New Roman" w:cs="Times New Roman"/>
          <w:sz w:val="24"/>
          <w:szCs w:val="28"/>
        </w:rPr>
        <w:t>с 2022 года).</w:t>
      </w:r>
    </w:p>
    <w:p w14:paraId="0E552CF8" w14:textId="2D426394" w:rsidR="0029172E" w:rsidRPr="00161EC6" w:rsidRDefault="00D87560" w:rsidP="00161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В результате принятых мер количество ДОУ к 2022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году увеличится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 </w:t>
      </w:r>
      <w:r w:rsidR="0029172E"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146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2022 году численность воспитанников в дошкольных образовательных учреждениях 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г. Иваново с учетом негосударственн</w:t>
      </w:r>
      <w:r w:rsidR="0029172E"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ого сектора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увеличится до 23,68 тыс. чел. Обеспеченность детскими дошкольными учреждениями в 2022 году по прогнозу составит 847,7 мест на 1000 детей дошкольного возраста.</w:t>
      </w:r>
    </w:p>
    <w:p w14:paraId="18E7634F" w14:textId="74AAEC99" w:rsidR="00D87560" w:rsidRDefault="00D87560" w:rsidP="00D87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D162F3" w14:textId="77777777" w:rsidR="00D87560" w:rsidRDefault="00D87560" w:rsidP="00D875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02A9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Численность детей в ДОУ, обеспеченность ДОУ</w:t>
      </w:r>
      <w:r w:rsidRPr="00C02A90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4"/>
      </w:r>
    </w:p>
    <w:p w14:paraId="0A862B82" w14:textId="77777777" w:rsidR="00DE7866" w:rsidRPr="00C02A90" w:rsidRDefault="00DE7866" w:rsidP="00D875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C52C3" w14:textId="77777777" w:rsidR="00D87560" w:rsidRPr="00632F97" w:rsidRDefault="00D87560" w:rsidP="00161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  <w:r w:rsidRPr="002736F6">
        <w:rPr>
          <w:rFonts w:ascii="Calibri" w:eastAsia="Calibri" w:hAnsi="Calibri" w:cs="Times New Roman"/>
          <w:noProof/>
          <w:color w:val="AAD836"/>
          <w:sz w:val="28"/>
          <w:szCs w:val="28"/>
          <w:lang w:eastAsia="ru-RU"/>
        </w:rPr>
        <w:drawing>
          <wp:inline distT="0" distB="0" distL="0" distR="0" wp14:anchorId="4E1D92DE" wp14:editId="4869DA4E">
            <wp:extent cx="5339751" cy="2751826"/>
            <wp:effectExtent l="0" t="0" r="0" b="0"/>
            <wp:docPr id="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6F2F0F7" w14:textId="77777777" w:rsidR="00161EC6" w:rsidRDefault="00161EC6" w:rsidP="00D87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098D50C1" w14:textId="77777777" w:rsidR="00D87560" w:rsidRPr="00161EC6" w:rsidRDefault="00D87560" w:rsidP="00D87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161EC6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Общее образование</w:t>
      </w:r>
    </w:p>
    <w:p w14:paraId="0D5FA52D" w14:textId="77777777" w:rsidR="00D87560" w:rsidRPr="00161EC6" w:rsidRDefault="00D87560" w:rsidP="00D87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29507781" w14:textId="272C9B79" w:rsidR="00D87560" w:rsidRPr="00161EC6" w:rsidRDefault="00D87560" w:rsidP="00D875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Показатели по общему образовани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ю скорректированы по сравнению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</w:t>
      </w:r>
      <w:r w:rsidRPr="00161EC6">
        <w:rPr>
          <w:rFonts w:ascii="Times New Roman" w:eastAsia="Calibri" w:hAnsi="Times New Roman" w:cs="Times New Roman"/>
          <w:sz w:val="24"/>
          <w:szCs w:val="28"/>
        </w:rPr>
        <w:t>прогнозом на 2019</w:t>
      </w:r>
      <w:r w:rsidR="0029172E" w:rsidRPr="00161EC6">
        <w:rPr>
          <w:rFonts w:ascii="Times New Roman" w:eastAsia="Calibri" w:hAnsi="Times New Roman" w:cs="Times New Roman"/>
          <w:sz w:val="24"/>
          <w:szCs w:val="28"/>
        </w:rPr>
        <w:t>-</w:t>
      </w:r>
      <w:r w:rsidR="0024203D" w:rsidRPr="00161EC6">
        <w:rPr>
          <w:rFonts w:ascii="Times New Roman" w:eastAsia="Calibri" w:hAnsi="Times New Roman" w:cs="Times New Roman"/>
          <w:sz w:val="24"/>
          <w:szCs w:val="28"/>
        </w:rPr>
        <w:t xml:space="preserve">2021 гг. </w:t>
      </w:r>
      <w:r w:rsidRPr="00161EC6">
        <w:rPr>
          <w:rFonts w:ascii="Times New Roman" w:eastAsia="Calibri" w:hAnsi="Times New Roman" w:cs="Times New Roman"/>
          <w:sz w:val="24"/>
          <w:szCs w:val="28"/>
        </w:rPr>
        <w:t>и приведены в соответствие</w:t>
      </w:r>
      <w:r w:rsidR="0029172E" w:rsidRPr="00161EC6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161EC6">
        <w:rPr>
          <w:rFonts w:ascii="Times New Roman" w:eastAsia="Calibri" w:hAnsi="Times New Roman" w:cs="Times New Roman"/>
          <w:sz w:val="24"/>
          <w:szCs w:val="28"/>
        </w:rPr>
        <w:t>с муниципальной программой «Развитие образования города Иванова»</w:t>
      </w:r>
      <w:r w:rsidRPr="00161EC6">
        <w:rPr>
          <w:rStyle w:val="a7"/>
          <w:rFonts w:ascii="Times New Roman" w:eastAsia="Calibri" w:hAnsi="Times New Roman" w:cs="Times New Roman"/>
          <w:sz w:val="24"/>
          <w:szCs w:val="28"/>
        </w:rPr>
        <w:footnoteReference w:id="15"/>
      </w:r>
      <w:r w:rsidRPr="00161EC6">
        <w:rPr>
          <w:rFonts w:ascii="Times New Roman" w:eastAsia="Calibri" w:hAnsi="Times New Roman" w:cs="Times New Roman"/>
          <w:sz w:val="24"/>
          <w:szCs w:val="28"/>
        </w:rPr>
        <w:t>.</w:t>
      </w:r>
    </w:p>
    <w:p w14:paraId="0F0566A2" w14:textId="63AD6B15" w:rsidR="00D87560" w:rsidRPr="00161EC6" w:rsidRDefault="00D87560" w:rsidP="004B48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8"/>
        </w:rPr>
      </w:pP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показателю </w:t>
      </w:r>
      <w:r w:rsidR="00B67390"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«Ч</w:t>
      </w:r>
      <w:r w:rsidRPr="00161EC6">
        <w:rPr>
          <w:rFonts w:ascii="Times New Roman" w:hAnsi="Times New Roman" w:cs="Times New Roman"/>
          <w:color w:val="111111"/>
          <w:sz w:val="24"/>
          <w:szCs w:val="28"/>
        </w:rPr>
        <w:t>исленност</w:t>
      </w:r>
      <w:r w:rsidR="00B67390" w:rsidRPr="00161EC6">
        <w:rPr>
          <w:rFonts w:ascii="Times New Roman" w:hAnsi="Times New Roman" w:cs="Times New Roman"/>
          <w:color w:val="111111"/>
          <w:sz w:val="24"/>
          <w:szCs w:val="28"/>
        </w:rPr>
        <w:t>ь</w:t>
      </w:r>
      <w:r w:rsidRPr="00161EC6">
        <w:rPr>
          <w:rFonts w:ascii="Times New Roman" w:hAnsi="Times New Roman" w:cs="Times New Roman"/>
          <w:color w:val="111111"/>
          <w:sz w:val="24"/>
          <w:szCs w:val="28"/>
        </w:rPr>
        <w:t xml:space="preserve"> обучающихся в общеобразовательных учреждениях (всего)</w:t>
      </w:r>
      <w:r w:rsidR="00B67390" w:rsidRPr="00161EC6">
        <w:rPr>
          <w:rFonts w:ascii="Times New Roman" w:hAnsi="Times New Roman" w:cs="Times New Roman"/>
          <w:color w:val="111111"/>
          <w:sz w:val="24"/>
          <w:szCs w:val="28"/>
        </w:rPr>
        <w:t>»</w:t>
      </w:r>
      <w:r w:rsidRPr="00161EC6">
        <w:rPr>
          <w:rFonts w:ascii="Times New Roman" w:hAnsi="Times New Roman" w:cs="Times New Roman"/>
          <w:color w:val="111111"/>
          <w:sz w:val="24"/>
          <w:szCs w:val="28"/>
        </w:rPr>
        <w:t xml:space="preserve"> уч</w:t>
      </w:r>
      <w:r w:rsidR="0031253C" w:rsidRPr="00161EC6">
        <w:rPr>
          <w:rFonts w:ascii="Times New Roman" w:hAnsi="Times New Roman" w:cs="Times New Roman"/>
          <w:color w:val="111111"/>
          <w:sz w:val="24"/>
          <w:szCs w:val="28"/>
        </w:rPr>
        <w:t>и</w:t>
      </w:r>
      <w:r w:rsidRPr="00161EC6">
        <w:rPr>
          <w:rFonts w:ascii="Times New Roman" w:hAnsi="Times New Roman" w:cs="Times New Roman"/>
          <w:color w:val="111111"/>
          <w:sz w:val="24"/>
          <w:szCs w:val="28"/>
        </w:rPr>
        <w:t>т</w:t>
      </w:r>
      <w:r w:rsidR="0031253C" w:rsidRPr="00161EC6">
        <w:rPr>
          <w:rFonts w:ascii="Times New Roman" w:hAnsi="Times New Roman" w:cs="Times New Roman"/>
          <w:color w:val="111111"/>
          <w:sz w:val="24"/>
          <w:szCs w:val="28"/>
        </w:rPr>
        <w:t>ываются</w:t>
      </w:r>
      <w:r w:rsidRPr="00161EC6">
        <w:rPr>
          <w:rFonts w:ascii="Times New Roman" w:hAnsi="Times New Roman" w:cs="Times New Roman"/>
          <w:color w:val="111111"/>
          <w:sz w:val="24"/>
          <w:szCs w:val="28"/>
        </w:rPr>
        <w:t xml:space="preserve"> учащиеся</w:t>
      </w:r>
      <w:r w:rsidR="0031253C" w:rsidRPr="00161EC6">
        <w:rPr>
          <w:rFonts w:ascii="Times New Roman" w:hAnsi="Times New Roman" w:cs="Times New Roman"/>
          <w:color w:val="111111"/>
          <w:sz w:val="24"/>
          <w:szCs w:val="28"/>
        </w:rPr>
        <w:t xml:space="preserve"> как</w:t>
      </w:r>
      <w:r w:rsidRPr="00161EC6">
        <w:rPr>
          <w:rFonts w:ascii="Times New Roman" w:hAnsi="Times New Roman" w:cs="Times New Roman"/>
          <w:color w:val="111111"/>
          <w:sz w:val="24"/>
          <w:szCs w:val="28"/>
        </w:rPr>
        <w:t xml:space="preserve"> муниципальных</w:t>
      </w:r>
      <w:r w:rsidR="00161EC6">
        <w:rPr>
          <w:rFonts w:ascii="Times New Roman" w:hAnsi="Times New Roman" w:cs="Times New Roman"/>
          <w:color w:val="111111"/>
          <w:sz w:val="24"/>
          <w:szCs w:val="28"/>
        </w:rPr>
        <w:t xml:space="preserve">, </w:t>
      </w:r>
      <w:r w:rsidR="0031253C" w:rsidRPr="00161EC6">
        <w:rPr>
          <w:rFonts w:ascii="Times New Roman" w:hAnsi="Times New Roman" w:cs="Times New Roman"/>
          <w:color w:val="111111"/>
          <w:sz w:val="24"/>
          <w:szCs w:val="28"/>
        </w:rPr>
        <w:t>так</w:t>
      </w:r>
      <w:r w:rsidRPr="00161EC6">
        <w:rPr>
          <w:rFonts w:ascii="Times New Roman" w:hAnsi="Times New Roman" w:cs="Times New Roman"/>
          <w:color w:val="111111"/>
          <w:sz w:val="24"/>
          <w:szCs w:val="28"/>
        </w:rPr>
        <w:t xml:space="preserve"> и негосударственных учреждений. </w:t>
      </w:r>
    </w:p>
    <w:p w14:paraId="5D3F155D" w14:textId="0EF1ED9B" w:rsidR="00D87560" w:rsidRPr="00161EC6" w:rsidRDefault="00D87560" w:rsidP="00BA65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8"/>
        </w:rPr>
      </w:pP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Численность учащихся общеобразовательных учреждений в 2018 году составила 40,03 тыс. чел., в том числе в муниципальных общеобразовательных учреждениях (далее – МОУ) – 39,48 тыс. чел. и в негосударственных учреждениях – 0,54 тыс. чел. </w:t>
      </w:r>
      <w:r w:rsidR="00BA6501"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За счет ввода под учебные кабинеты помещений, ранее занятых под другие цели, п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оказатель «Численность обучающихся в первую смену в дневных учреждениях общего образования к общему числу обучающихся в этих учреждениях» в 2018 году достигнут и составил 90,6% вместо запланированного 90,4% </w:t>
      </w:r>
      <w:r w:rsidRPr="00161EC6">
        <w:rPr>
          <w:rFonts w:ascii="Times New Roman" w:hAnsi="Times New Roman" w:cs="Times New Roman"/>
          <w:color w:val="111111"/>
          <w:sz w:val="24"/>
          <w:szCs w:val="28"/>
        </w:rPr>
        <w:t>в прогнозе на 2019</w:t>
      </w:r>
      <w:r w:rsidR="00BA6501" w:rsidRPr="00161EC6">
        <w:rPr>
          <w:rFonts w:ascii="Times New Roman" w:hAnsi="Times New Roman" w:cs="Times New Roman"/>
          <w:color w:val="111111"/>
          <w:sz w:val="24"/>
          <w:szCs w:val="28"/>
        </w:rPr>
        <w:t>-2021 гг.</w:t>
      </w:r>
      <w:r w:rsidRPr="00161EC6">
        <w:rPr>
          <w:rFonts w:ascii="Times New Roman" w:hAnsi="Times New Roman" w:cs="Times New Roman"/>
          <w:color w:val="111111"/>
          <w:sz w:val="24"/>
          <w:szCs w:val="28"/>
        </w:rPr>
        <w:t xml:space="preserve"> </w:t>
      </w:r>
    </w:p>
    <w:p w14:paraId="582379AF" w14:textId="23305BF8" w:rsidR="00D87560" w:rsidRPr="00161EC6" w:rsidRDefault="00D87560" w:rsidP="00D87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настоящее время в городском округе Иваново осуществляют деятельность 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53 общеобразовательные учреждения (в 2018 г. – 55), в том числе:</w:t>
      </w:r>
    </w:p>
    <w:p w14:paraId="640013CD" w14:textId="77777777" w:rsidR="00D87560" w:rsidRPr="00161EC6" w:rsidRDefault="00D87560" w:rsidP="00D87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- муниципальные образовательные учреждения – 49 ед. (в 2018 г. – 51);</w:t>
      </w:r>
    </w:p>
    <w:p w14:paraId="72048885" w14:textId="77777777" w:rsidR="00D87560" w:rsidRPr="00161EC6" w:rsidRDefault="00D87560" w:rsidP="00D87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- частные общеобразовательные учреждения – 4 ед. (в 2018 г. – 4).</w:t>
      </w:r>
    </w:p>
    <w:p w14:paraId="32F6497B" w14:textId="72351924" w:rsidR="00D87560" w:rsidRPr="00161EC6" w:rsidRDefault="00D87560" w:rsidP="00D875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Сеть МОУ сократилась на 2 учреждения за счет реорганизации путем объединения МБОУ «Средняя школа № 55» и МБОУ «Основная школа № 25», МБОУ «Средняя школа № 42» и МБОУ «Средняя школа № 31». </w:t>
      </w:r>
    </w:p>
    <w:p w14:paraId="2D6DD491" w14:textId="1F286CB3" w:rsidR="00D87560" w:rsidRPr="00161EC6" w:rsidRDefault="00D87560" w:rsidP="00D87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оценке 2019 года численность учащихся общеобразовательных учреждений увеличится и составит 40,93 тыс. чел., в том числе в МОУ – 40,34 тыс. чел. в связи 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ростом рождаемости (в период с 2008 по 2016 гг.) и как следствие увеличение количества первоклассников и учащихся на второй ступени обучения (5-9 классы), 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 также за счет планируемой положительной миграции населения из Ивановской области и ближнего зарубежья. </w:t>
      </w:r>
    </w:p>
    <w:p w14:paraId="69809331" w14:textId="6A7D9B41" w:rsidR="00D87560" w:rsidRPr="00161EC6" w:rsidRDefault="00D87560" w:rsidP="00FA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1EC6">
        <w:rPr>
          <w:rFonts w:ascii="Times New Roman" w:hAnsi="Times New Roman" w:cs="Times New Roman"/>
          <w:color w:val="111111"/>
          <w:sz w:val="24"/>
          <w:szCs w:val="28"/>
        </w:rPr>
        <w:t>В сравнении с прогнозом на 2019</w:t>
      </w:r>
      <w:r w:rsidR="00FA4BF9" w:rsidRPr="00161EC6">
        <w:rPr>
          <w:rFonts w:ascii="Times New Roman" w:hAnsi="Times New Roman" w:cs="Times New Roman"/>
          <w:color w:val="111111"/>
          <w:sz w:val="24"/>
          <w:szCs w:val="28"/>
        </w:rPr>
        <w:t>-2021 гг.</w:t>
      </w:r>
      <w:r w:rsidRPr="00161EC6">
        <w:rPr>
          <w:rFonts w:ascii="Open Sans" w:hAnsi="Open Sans"/>
          <w:color w:val="111111"/>
          <w:sz w:val="26"/>
          <w:szCs w:val="28"/>
        </w:rPr>
        <w:t xml:space="preserve"> </w:t>
      </w:r>
      <w:r w:rsidR="00FA4BF9" w:rsidRPr="00161EC6">
        <w:rPr>
          <w:rFonts w:ascii="Open Sans" w:hAnsi="Open Sans"/>
          <w:color w:val="111111"/>
          <w:sz w:val="26"/>
          <w:szCs w:val="28"/>
        </w:rPr>
        <w:t>показатель «Ч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исленность обучающихся в первую смену в дневных учреждениях общего образования к общему числу обучающихся</w:t>
      </w:r>
      <w:r w:rsidR="001F63BB"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="00FA4BF9"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F63BB"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в 2019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году </w:t>
      </w:r>
      <w:r w:rsidRPr="00161EC6">
        <w:rPr>
          <w:rFonts w:ascii="Times New Roman" w:hAnsi="Times New Roman" w:cs="Times New Roman"/>
          <w:color w:val="111111"/>
          <w:sz w:val="24"/>
          <w:szCs w:val="28"/>
        </w:rPr>
        <w:t>скорректирован в сторону снижения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1,1 пп</w:t>
      </w:r>
      <w:r w:rsidRPr="00161EC6">
        <w:rPr>
          <w:rFonts w:ascii="Times New Roman" w:hAnsi="Times New Roman" w:cs="Times New Roman"/>
          <w:color w:val="111111"/>
          <w:sz w:val="24"/>
          <w:szCs w:val="28"/>
        </w:rPr>
        <w:t xml:space="preserve">. </w:t>
      </w:r>
      <w:r w:rsidRPr="00161EC6">
        <w:rPr>
          <w:rFonts w:ascii="Times New Roman" w:hAnsi="Times New Roman" w:cs="Times New Roman"/>
          <w:sz w:val="24"/>
          <w:szCs w:val="28"/>
        </w:rPr>
        <w:t>Отрицательная динамика</w:t>
      </w:r>
      <w:r w:rsidR="00FA4BF9" w:rsidRPr="00161EC6">
        <w:rPr>
          <w:rFonts w:ascii="Times New Roman" w:hAnsi="Times New Roman" w:cs="Times New Roman"/>
          <w:sz w:val="24"/>
          <w:szCs w:val="28"/>
        </w:rPr>
        <w:t xml:space="preserve"> данного</w:t>
      </w:r>
      <w:r w:rsidRPr="00161EC6">
        <w:rPr>
          <w:rFonts w:ascii="Times New Roman" w:hAnsi="Times New Roman" w:cs="Times New Roman"/>
          <w:sz w:val="24"/>
          <w:szCs w:val="28"/>
        </w:rPr>
        <w:t xml:space="preserve"> показателя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в 2019-2022 гг.</w:t>
      </w:r>
      <w:r w:rsidRPr="00161EC6">
        <w:rPr>
          <w:rFonts w:ascii="Times New Roman" w:hAnsi="Times New Roman" w:cs="Times New Roman"/>
          <w:sz w:val="24"/>
          <w:szCs w:val="28"/>
        </w:rPr>
        <w:t xml:space="preserve"> обусловлена тем, что ресурсы переоборудования постепенно исчерпываются в условиях</w:t>
      </w:r>
      <w:r w:rsidRPr="00161EC6">
        <w:rPr>
          <w:rFonts w:ascii="Times New Roman" w:hAnsi="Times New Roman" w:cs="Times New Roman"/>
          <w:color w:val="111111"/>
          <w:sz w:val="24"/>
          <w:szCs w:val="28"/>
        </w:rPr>
        <w:t xml:space="preserve">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роста контингента учащихся, который опережает ввод дополнительных (новых) мест в общеобразовательных учреждениях города, ожидается, что показатель к 2022 г. снизится до 86,4%. </w:t>
      </w:r>
    </w:p>
    <w:p w14:paraId="655A6247" w14:textId="46619070" w:rsidR="00D87560" w:rsidRPr="00161EC6" w:rsidRDefault="00D87560" w:rsidP="00DE78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В прогнозный период 2020-2022 гг. показатель численности учащихся общеобразовательных учреждений будет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иметь тенденцию к увеличению.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2022 году данный показатель составит 41,79 тыс. чел., в том числе в МОУ – 41,20 тыс. чел., увеличившись к 2019 году на 2,1%. </w:t>
      </w:r>
    </w:p>
    <w:p w14:paraId="58E0632E" w14:textId="77777777" w:rsidR="00DE7866" w:rsidRPr="00161EC6" w:rsidRDefault="00DE7866" w:rsidP="00DE78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577917C8" w14:textId="77777777" w:rsidR="00D55681" w:rsidRPr="00161EC6" w:rsidRDefault="00D55681" w:rsidP="00161EC6">
      <w:pPr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161EC6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Обеспеченность общедоступными библиотеками и учреждениями культурно-досугового типа</w:t>
      </w:r>
    </w:p>
    <w:p w14:paraId="5B923343" w14:textId="77777777" w:rsidR="00D55681" w:rsidRPr="00161EC6" w:rsidRDefault="00D55681" w:rsidP="00D55681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12C588DB" w14:textId="27EEFA3F" w:rsidR="00D55681" w:rsidRPr="00161EC6" w:rsidRDefault="00D55681" w:rsidP="00D55681">
      <w:pPr>
        <w:spacing w:after="0" w:line="240" w:lineRule="auto"/>
        <w:ind w:right="99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Запланированные на 2018 год показатели обеспеченности общедоступными библиотеками и учреждениями культурно-досугового типа в прогнозе </w:t>
      </w:r>
      <w:r w:rsidR="00515867"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</w:t>
      </w:r>
      <w:r w:rsidRPr="00161EC6">
        <w:rPr>
          <w:rFonts w:ascii="Times New Roman" w:eastAsia="Calibri" w:hAnsi="Times New Roman" w:cs="Times New Roman"/>
          <w:sz w:val="24"/>
          <w:szCs w:val="28"/>
        </w:rPr>
        <w:t>2019</w:t>
      </w:r>
      <w:r w:rsidR="0029172E" w:rsidRPr="00161EC6">
        <w:rPr>
          <w:rFonts w:ascii="Times New Roman" w:eastAsia="Calibri" w:hAnsi="Times New Roman" w:cs="Times New Roman"/>
          <w:sz w:val="24"/>
          <w:szCs w:val="28"/>
        </w:rPr>
        <w:t>-</w:t>
      </w:r>
      <w:r w:rsidR="00515867" w:rsidRPr="00161EC6">
        <w:rPr>
          <w:rFonts w:ascii="Times New Roman" w:eastAsia="Calibri" w:hAnsi="Times New Roman" w:cs="Times New Roman"/>
          <w:sz w:val="24"/>
          <w:szCs w:val="28"/>
        </w:rPr>
        <w:t>2021 гг.</w:t>
      </w:r>
      <w:r w:rsidRPr="00161EC6">
        <w:rPr>
          <w:rFonts w:ascii="Times New Roman" w:eastAsia="Calibri" w:hAnsi="Times New Roman" w:cs="Times New Roman"/>
          <w:sz w:val="24"/>
          <w:szCs w:val="28"/>
        </w:rPr>
        <w:t xml:space="preserve"> достигнуты и составили 28,60 и 7,15 учреждений на 100 тыс. населения соответственно.</w:t>
      </w:r>
    </w:p>
    <w:p w14:paraId="3F1FE22C" w14:textId="7D347DDB" w:rsidR="00D55681" w:rsidRPr="00161EC6" w:rsidRDefault="00D55681" w:rsidP="00D57369">
      <w:pPr>
        <w:spacing w:after="0" w:line="240" w:lineRule="auto"/>
        <w:ind w:right="99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настоящее время в городском округе Иваново осуществляют деятельность 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116 общедоступных библиотек и 28 учреждений культурно-досугового типа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(в 2018 году –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116 и 29 соответственно). Снижение количества учреждений культурно-досугового типа произошло за счет </w:t>
      </w:r>
      <w:r w:rsidR="006F2E58"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снятия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учета ДК ИРО Общероссийской общественной организации инвалидов «Всероссийское общество глухих» (объект снесен), КЦ «Современник» (ликвидация МУП), КЦ «Искра» (прекращение деятельности). Но в то</w:t>
      </w:r>
      <w:r w:rsidR="001D02D4"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же время к учету приняты филиалы МБУК «Парк культуры 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и отдыха «Харинка», а именно</w:t>
      </w:r>
      <w:r w:rsidR="00D57369"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городок аттракционов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(ул. Куконковых) и городской детский парк (ул. Комсомольская).В связи с этим, в 2019-2022 гг. показатели 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обеспеченности учреждениями культурно-досугового типа (количество учреждений на 100 тыс. населения) скорректированы в сторону уменьшения по сравнению </w:t>
      </w:r>
      <w:r w:rsid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прогнозом </w:t>
      </w:r>
      <w:r w:rsidR="00D57369"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на 2019 – 2021 гг.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и </w:t>
      </w:r>
      <w:r w:rsidR="0029172E"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составят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6,92; 6,94; 6,96 и 6,97 соответственно.</w:t>
      </w:r>
    </w:p>
    <w:p w14:paraId="453476B2" w14:textId="5B472D8F" w:rsidR="00D55681" w:rsidRPr="00161EC6" w:rsidRDefault="00D55681" w:rsidP="00D55681">
      <w:pPr>
        <w:spacing w:after="0" w:line="240" w:lineRule="auto"/>
        <w:ind w:right="99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оценке 2019 года обеспеченность общедоступными библиотеками составит 28,68 учреждений на 100 тыс. населения, в 2020 г. – 28,75, в 2021 г. </w:t>
      </w:r>
      <w:r w:rsidRPr="00161E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-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28,81, в 2022 г. – 28,87. Положительная д</w:t>
      </w:r>
      <w:r w:rsidRPr="00161EC6">
        <w:rPr>
          <w:rFonts w:ascii="Times New Roman" w:eastAsia="Calibri" w:hAnsi="Times New Roman" w:cs="Times New Roman"/>
          <w:sz w:val="24"/>
          <w:szCs w:val="28"/>
          <w:lang w:eastAsia="ru-RU"/>
        </w:rPr>
        <w:t>инамика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показателей обеспеченности в прогнозном периоде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обусловлена уменьшением расчетного показателя среднегодовой численности постоянного населения города Иванова по сравнению с прогнозом </w:t>
      </w:r>
      <w:r w:rsidR="0029172E"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на 2019-</w:t>
      </w:r>
      <w:r w:rsidR="00876E2E"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2021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гг.</w:t>
      </w:r>
      <w:r w:rsidRPr="00161EC6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14:paraId="08BA53CC" w14:textId="77777777" w:rsidR="00D55681" w:rsidRPr="00161EC6" w:rsidRDefault="00D55681" w:rsidP="00D55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F2D775F" w14:textId="61CD4014" w:rsidR="00D55681" w:rsidRPr="00161EC6" w:rsidRDefault="00D55681" w:rsidP="00161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161EC6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Доля населения систематически занимающего</w:t>
      </w:r>
      <w:r w:rsidR="00161EC6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ся физической культурой                    </w:t>
      </w:r>
      <w:r w:rsidRPr="00161EC6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и спортом</w:t>
      </w:r>
    </w:p>
    <w:p w14:paraId="3E49758B" w14:textId="77777777" w:rsidR="00D55681" w:rsidRPr="00161EC6" w:rsidRDefault="00D55681" w:rsidP="00D556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232F1D0E" w14:textId="77777777" w:rsidR="00D55681" w:rsidRPr="00161EC6" w:rsidRDefault="00D55681" w:rsidP="00D556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161EC6">
        <w:rPr>
          <w:rFonts w:ascii="Times New Roman" w:hAnsi="Times New Roman"/>
          <w:sz w:val="24"/>
          <w:szCs w:val="28"/>
        </w:rPr>
        <w:t xml:space="preserve">В 2018 году продолжилась работа по обеспечению условий для развития физической культуры и массового спорта, организации проведения физкультурно-оздоровительных и спортивных мероприятий. </w:t>
      </w:r>
    </w:p>
    <w:p w14:paraId="617A6778" w14:textId="1A203355" w:rsidR="00D55681" w:rsidRPr="00161EC6" w:rsidRDefault="00D55681" w:rsidP="00D556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161EC6">
        <w:rPr>
          <w:rFonts w:ascii="Times New Roman" w:eastAsia="Calibri" w:hAnsi="Times New Roman" w:cs="Times New Roman"/>
          <w:sz w:val="24"/>
          <w:szCs w:val="28"/>
          <w:lang w:eastAsia="ru-RU"/>
        </w:rPr>
        <w:t>В 2018 году количество спортивных</w:t>
      </w:r>
      <w:r w:rsidR="00161EC6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сооружений по сравнению </w:t>
      </w:r>
      <w:r w:rsidRPr="00161EC6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с 2017 годом увеличилось с 667 до 671 ед. (плоскостные спортивные сооружения (4 ед.). </w:t>
      </w:r>
      <w:r w:rsidRPr="00161EC6">
        <w:rPr>
          <w:rFonts w:ascii="Times New Roman" w:hAnsi="Times New Roman"/>
          <w:sz w:val="24"/>
          <w:szCs w:val="28"/>
        </w:rPr>
        <w:t xml:space="preserve">Ежегодно </w:t>
      </w:r>
      <w:r w:rsidR="00161EC6">
        <w:rPr>
          <w:rFonts w:ascii="Times New Roman" w:hAnsi="Times New Roman"/>
          <w:sz w:val="24"/>
          <w:szCs w:val="28"/>
        </w:rPr>
        <w:t xml:space="preserve">                </w:t>
      </w:r>
      <w:r w:rsidRPr="00161EC6">
        <w:rPr>
          <w:rFonts w:ascii="Times New Roman" w:hAnsi="Times New Roman"/>
          <w:sz w:val="24"/>
          <w:szCs w:val="28"/>
        </w:rPr>
        <w:t xml:space="preserve">в рамках мероприятий по исполнению наказов избирателей депутатам Ивановской областной Думы и Ивановской городской Думы на территории города устанавливаются многофункциональные спортивные площадки и спортивное оборудование. </w:t>
      </w:r>
    </w:p>
    <w:p w14:paraId="2FE04814" w14:textId="64017818" w:rsidR="00D55681" w:rsidRPr="00161EC6" w:rsidRDefault="00D55681" w:rsidP="00D556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61EC6">
        <w:rPr>
          <w:rFonts w:ascii="Times New Roman" w:eastAsia="Calibri" w:hAnsi="Times New Roman" w:cs="Times New Roman"/>
          <w:sz w:val="24"/>
          <w:szCs w:val="28"/>
        </w:rPr>
        <w:t>В 2019 году планируется увеличить количество спортивных сооружений до 673 ед. за счет введения площадок для ф</w:t>
      </w:r>
      <w:r w:rsidR="00161EC6">
        <w:rPr>
          <w:rFonts w:ascii="Times New Roman" w:eastAsia="Calibri" w:hAnsi="Times New Roman" w:cs="Times New Roman"/>
          <w:sz w:val="24"/>
          <w:szCs w:val="28"/>
        </w:rPr>
        <w:t xml:space="preserve">изкультурно-спортивных занятий </w:t>
      </w:r>
      <w:r w:rsidRPr="00161EC6">
        <w:rPr>
          <w:rFonts w:ascii="Times New Roman" w:eastAsia="Calibri" w:hAnsi="Times New Roman" w:cs="Times New Roman"/>
          <w:sz w:val="24"/>
          <w:szCs w:val="28"/>
        </w:rPr>
        <w:t xml:space="preserve">по месту жительства. </w:t>
      </w:r>
      <w:r w:rsidR="00161EC6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161EC6">
        <w:rPr>
          <w:rFonts w:ascii="Times New Roman" w:eastAsia="Calibri" w:hAnsi="Times New Roman" w:cs="Times New Roman"/>
          <w:sz w:val="24"/>
          <w:szCs w:val="28"/>
        </w:rPr>
        <w:t>В прогнозный период 2020-2022 гг. увеличение количества  спортивных сооружений будет происходит</w:t>
      </w:r>
      <w:r w:rsidR="00161EC6">
        <w:rPr>
          <w:rFonts w:ascii="Times New Roman" w:eastAsia="Calibri" w:hAnsi="Times New Roman" w:cs="Times New Roman"/>
          <w:sz w:val="24"/>
          <w:szCs w:val="28"/>
        </w:rPr>
        <w:t xml:space="preserve">ь за счет введения в 2020 году </w:t>
      </w:r>
      <w:r w:rsidRPr="00161EC6">
        <w:rPr>
          <w:rFonts w:ascii="Times New Roman" w:eastAsia="Calibri" w:hAnsi="Times New Roman" w:cs="Times New Roman"/>
          <w:sz w:val="24"/>
          <w:szCs w:val="28"/>
        </w:rPr>
        <w:t xml:space="preserve">в эксплуатацию Дворца игровых видов спорта и современного спортивного комплекса с 50-ти метровым бассейном </w:t>
      </w:r>
      <w:r w:rsidR="00161EC6">
        <w:rPr>
          <w:rFonts w:ascii="Times New Roman" w:eastAsia="Calibri" w:hAnsi="Times New Roman" w:cs="Times New Roman"/>
          <w:sz w:val="24"/>
          <w:szCs w:val="28"/>
        </w:rPr>
        <w:t xml:space="preserve">                         </w:t>
      </w:r>
      <w:r w:rsidRPr="00161EC6">
        <w:rPr>
          <w:rFonts w:ascii="Times New Roman" w:eastAsia="Calibri" w:hAnsi="Times New Roman" w:cs="Times New Roman"/>
          <w:sz w:val="24"/>
          <w:szCs w:val="28"/>
        </w:rPr>
        <w:t>(ул. Лежневская). Кроме того</w:t>
      </w:r>
      <w:r w:rsidR="0075630F" w:rsidRPr="00161EC6">
        <w:rPr>
          <w:rFonts w:ascii="Times New Roman" w:eastAsia="Calibri" w:hAnsi="Times New Roman" w:cs="Times New Roman"/>
          <w:sz w:val="24"/>
          <w:szCs w:val="28"/>
        </w:rPr>
        <w:t>,</w:t>
      </w:r>
      <w:r w:rsidRPr="00161EC6">
        <w:rPr>
          <w:rFonts w:ascii="Times New Roman" w:eastAsia="Calibri" w:hAnsi="Times New Roman" w:cs="Times New Roman"/>
          <w:sz w:val="24"/>
          <w:szCs w:val="28"/>
        </w:rPr>
        <w:t xml:space="preserve"> планируется ежегодное введение площадок </w:t>
      </w:r>
      <w:r w:rsidR="00161EC6">
        <w:rPr>
          <w:rFonts w:ascii="Times New Roman" w:eastAsia="Calibri" w:hAnsi="Times New Roman" w:cs="Times New Roman"/>
          <w:sz w:val="24"/>
          <w:szCs w:val="28"/>
        </w:rPr>
        <w:t xml:space="preserve">                              </w:t>
      </w:r>
      <w:r w:rsidRPr="00161EC6">
        <w:rPr>
          <w:rFonts w:ascii="Times New Roman" w:eastAsia="Calibri" w:hAnsi="Times New Roman" w:cs="Times New Roman"/>
          <w:sz w:val="24"/>
          <w:szCs w:val="28"/>
        </w:rPr>
        <w:t xml:space="preserve">для физкультурно-спортивных занятий по месту жительства. К 2022 году количество спортивных сооружений </w:t>
      </w:r>
      <w:r w:rsidR="00161EC6">
        <w:rPr>
          <w:rFonts w:ascii="Times New Roman" w:eastAsia="Calibri" w:hAnsi="Times New Roman" w:cs="Times New Roman"/>
          <w:sz w:val="24"/>
          <w:szCs w:val="28"/>
        </w:rPr>
        <w:t xml:space="preserve">будет увеличено </w:t>
      </w:r>
      <w:r w:rsidRPr="00161EC6">
        <w:rPr>
          <w:rFonts w:ascii="Times New Roman" w:eastAsia="Calibri" w:hAnsi="Times New Roman" w:cs="Times New Roman"/>
          <w:sz w:val="24"/>
          <w:szCs w:val="28"/>
        </w:rPr>
        <w:t>до 693 ед.</w:t>
      </w:r>
    </w:p>
    <w:p w14:paraId="4A39E6CE" w14:textId="3FCE83A5" w:rsidR="00D55681" w:rsidRPr="00161EC6" w:rsidRDefault="00D55681" w:rsidP="00F26691">
      <w:pPr>
        <w:spacing w:after="0" w:line="240" w:lineRule="auto"/>
        <w:ind w:right="-13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61EC6">
        <w:rPr>
          <w:rFonts w:ascii="Times New Roman" w:eastAsia="Calibri" w:hAnsi="Times New Roman" w:cs="Times New Roman"/>
          <w:sz w:val="24"/>
          <w:szCs w:val="28"/>
        </w:rPr>
        <w:t xml:space="preserve">В результате планомерной работы по пропаганде здорового образа жизни среди различных категорий населения города и развития спортивной инфраструктуры, взаимодействия с физкультурно-спортивными организациями и учреждениями, количество жителей, систематически занимающихся физической культурой и спортом, </w:t>
      </w:r>
      <w:r w:rsidR="00161EC6">
        <w:rPr>
          <w:rFonts w:ascii="Times New Roman" w:eastAsia="Calibri" w:hAnsi="Times New Roman" w:cs="Times New Roman"/>
          <w:sz w:val="24"/>
          <w:szCs w:val="28"/>
        </w:rPr>
        <w:t xml:space="preserve">          </w:t>
      </w:r>
      <w:r w:rsidRPr="00161EC6">
        <w:rPr>
          <w:rFonts w:ascii="Times New Roman" w:eastAsia="Calibri" w:hAnsi="Times New Roman" w:cs="Times New Roman"/>
          <w:sz w:val="24"/>
          <w:szCs w:val="28"/>
        </w:rPr>
        <w:t>в 2018 году составило 128 358 чел., соответственно удельный вес населения, занимающегося физкультурой и спортом, от общей численности населения города Иванова в 2018 году составил 31,71%</w:t>
      </w:r>
      <w:r w:rsidRPr="00161EC6">
        <w:rPr>
          <w:rStyle w:val="a7"/>
          <w:rFonts w:ascii="Times New Roman" w:eastAsia="Calibri" w:hAnsi="Times New Roman" w:cs="Times New Roman"/>
          <w:sz w:val="24"/>
          <w:szCs w:val="28"/>
        </w:rPr>
        <w:footnoteReference w:id="16"/>
      </w:r>
      <w:r w:rsidRPr="00161EC6">
        <w:rPr>
          <w:rFonts w:ascii="Times New Roman" w:eastAsia="Calibri" w:hAnsi="Times New Roman" w:cs="Times New Roman"/>
          <w:sz w:val="24"/>
          <w:szCs w:val="28"/>
        </w:rPr>
        <w:t xml:space="preserve">. Таким образом, показатель «доля </w:t>
      </w:r>
      <w:r w:rsidRPr="00161EC6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населения систематически занимающегося физической культурой и спортом</w:t>
      </w:r>
      <w:r w:rsidRPr="00161EC6">
        <w:rPr>
          <w:rFonts w:ascii="Times New Roman" w:eastAsia="Calibri" w:hAnsi="Times New Roman" w:cs="Times New Roman"/>
          <w:sz w:val="24"/>
          <w:szCs w:val="28"/>
        </w:rPr>
        <w:t>»</w:t>
      </w:r>
      <w:r w:rsidR="00F26691" w:rsidRPr="00161EC6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161EC6">
        <w:rPr>
          <w:rFonts w:ascii="Times New Roman" w:eastAsia="Calibri" w:hAnsi="Times New Roman" w:cs="Times New Roman"/>
          <w:sz w:val="24"/>
          <w:szCs w:val="28"/>
        </w:rPr>
        <w:t xml:space="preserve">в 2018 году, запланированный в прогнозе </w:t>
      </w:r>
      <w:r w:rsidR="00F26691" w:rsidRPr="00161EC6">
        <w:rPr>
          <w:rFonts w:ascii="Times New Roman" w:eastAsia="Calibri" w:hAnsi="Times New Roman" w:cs="Times New Roman"/>
          <w:sz w:val="24"/>
          <w:szCs w:val="28"/>
        </w:rPr>
        <w:t>на 2019-2021 гг</w:t>
      </w:r>
      <w:r w:rsidRPr="00161EC6">
        <w:rPr>
          <w:rFonts w:ascii="Times New Roman" w:eastAsia="Calibri" w:hAnsi="Times New Roman" w:cs="Times New Roman"/>
          <w:sz w:val="24"/>
          <w:szCs w:val="28"/>
        </w:rPr>
        <w:t>., достигнут</w:t>
      </w:r>
      <w:r w:rsidRPr="00161EC6">
        <w:rPr>
          <w:rFonts w:ascii="Times New Roman" w:eastAsia="Calibri" w:hAnsi="Times New Roman" w:cs="Times New Roman"/>
          <w:szCs w:val="24"/>
        </w:rPr>
        <w:t>.</w:t>
      </w:r>
    </w:p>
    <w:p w14:paraId="2A5847E0" w14:textId="58DDE80F" w:rsidR="00D55681" w:rsidRPr="00161EC6" w:rsidRDefault="00D55681" w:rsidP="00D55681">
      <w:pPr>
        <w:spacing w:after="0" w:line="240" w:lineRule="auto"/>
        <w:ind w:right="-13"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161EC6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По оценке 2019 года удельный вес населения, занимающегося физкультурой </w:t>
      </w:r>
      <w:r w:rsidR="00161EC6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               </w:t>
      </w:r>
      <w:r w:rsidRPr="00161EC6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и спортом, от общей численности населения города Иванова достигнет уровня 31,81%, </w:t>
      </w:r>
      <w:r w:rsidR="00161EC6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          </w:t>
      </w:r>
      <w:r w:rsidRPr="00161EC6">
        <w:rPr>
          <w:rFonts w:ascii="Times New Roman" w:eastAsia="Calibri" w:hAnsi="Times New Roman" w:cs="Times New Roman"/>
          <w:color w:val="000000"/>
          <w:sz w:val="24"/>
          <w:szCs w:val="28"/>
        </w:rPr>
        <w:t>в прогнозируемом периоде: в 2020 году – 35,87%, в 2021 году – 36,01%, в 2022 году – 36,13%.</w:t>
      </w:r>
      <w:r w:rsidRPr="00161EC6">
        <w:rPr>
          <w:sz w:val="24"/>
          <w:szCs w:val="28"/>
        </w:rPr>
        <w:t xml:space="preserve"> </w:t>
      </w:r>
      <w:r w:rsidRPr="00161EC6">
        <w:rPr>
          <w:rFonts w:ascii="Times New Roman" w:hAnsi="Times New Roman" w:cs="Times New Roman"/>
          <w:sz w:val="24"/>
          <w:szCs w:val="28"/>
        </w:rPr>
        <w:t>Д</w:t>
      </w:r>
      <w:r w:rsidRPr="00161EC6">
        <w:rPr>
          <w:rFonts w:ascii="Times New Roman" w:eastAsia="Calibri" w:hAnsi="Times New Roman" w:cs="Times New Roman"/>
          <w:color w:val="000000"/>
          <w:sz w:val="24"/>
          <w:szCs w:val="28"/>
        </w:rPr>
        <w:t>инамика показателя в прогнозном периоде обусловлена ежегодным ростом числа занимающихся физкультурой и спортом с одновременным снижением показателя среднегодовой численности постоянного населения города Иванова.</w:t>
      </w:r>
    </w:p>
    <w:p w14:paraId="17CA2A74" w14:textId="77777777" w:rsidR="008757CE" w:rsidRPr="00161EC6" w:rsidRDefault="008757CE" w:rsidP="009A5C7D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3279C839" w14:textId="77777777" w:rsidR="001B75E7" w:rsidRPr="00161EC6" w:rsidRDefault="001B75E7" w:rsidP="001B75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61EC6">
        <w:rPr>
          <w:rFonts w:ascii="Times New Roman" w:hAnsi="Times New Roman" w:cs="Times New Roman"/>
          <w:b/>
          <w:sz w:val="24"/>
          <w:szCs w:val="28"/>
        </w:rPr>
        <w:t>8. Выбросы загрязняющих веществ в атмосферный воздух,</w:t>
      </w:r>
    </w:p>
    <w:p w14:paraId="050312D8" w14:textId="77777777" w:rsidR="001B75E7" w:rsidRPr="00161EC6" w:rsidRDefault="001B75E7" w:rsidP="001B75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61EC6">
        <w:rPr>
          <w:rFonts w:ascii="Times New Roman" w:hAnsi="Times New Roman" w:cs="Times New Roman"/>
          <w:b/>
          <w:sz w:val="24"/>
          <w:szCs w:val="28"/>
        </w:rPr>
        <w:t>отходящих от стационарных источников</w:t>
      </w:r>
    </w:p>
    <w:p w14:paraId="61F69DAB" w14:textId="77777777" w:rsidR="00213B42" w:rsidRPr="00161EC6" w:rsidRDefault="00213B42" w:rsidP="0021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4D0B819C" w14:textId="5947DF56" w:rsidR="00750141" w:rsidRPr="00161EC6" w:rsidRDefault="00750141" w:rsidP="00750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61EC6">
        <w:rPr>
          <w:rFonts w:ascii="Times New Roman" w:hAnsi="Times New Roman" w:cs="Times New Roman"/>
          <w:sz w:val="24"/>
          <w:szCs w:val="28"/>
        </w:rPr>
        <w:t>В 2018 году общий объем вредных веществ, выбрасываемых в атмосферный воздух</w:t>
      </w:r>
      <w:r w:rsidR="00161EC6">
        <w:rPr>
          <w:rFonts w:ascii="Times New Roman" w:hAnsi="Times New Roman" w:cs="Times New Roman"/>
          <w:sz w:val="24"/>
          <w:szCs w:val="28"/>
        </w:rPr>
        <w:t>,</w:t>
      </w:r>
      <w:r w:rsidRPr="00161EC6">
        <w:rPr>
          <w:rFonts w:ascii="Times New Roman" w:hAnsi="Times New Roman" w:cs="Times New Roman"/>
          <w:sz w:val="24"/>
          <w:szCs w:val="28"/>
        </w:rPr>
        <w:t xml:space="preserve"> составил 5,0 тыс. тонн, что на 4,7%</w:t>
      </w:r>
      <w:r w:rsidR="00161EC6">
        <w:rPr>
          <w:rFonts w:ascii="Times New Roman" w:hAnsi="Times New Roman" w:cs="Times New Roman"/>
          <w:sz w:val="24"/>
          <w:szCs w:val="28"/>
        </w:rPr>
        <w:t xml:space="preserve"> выше уровня предыдущего года.                            </w:t>
      </w:r>
      <w:r w:rsidRPr="00161EC6">
        <w:rPr>
          <w:rFonts w:ascii="Times New Roman" w:hAnsi="Times New Roman" w:cs="Times New Roman"/>
          <w:sz w:val="24"/>
          <w:szCs w:val="28"/>
        </w:rPr>
        <w:t>В 2019-2022 гг. данный показатель прогнозируется на уровне отчетного года.</w:t>
      </w:r>
    </w:p>
    <w:p w14:paraId="16248BFE" w14:textId="6D10C039" w:rsidR="00226200" w:rsidRPr="00161EC6" w:rsidRDefault="00750141" w:rsidP="00161E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161EC6">
        <w:rPr>
          <w:rFonts w:ascii="Times New Roman" w:hAnsi="Times New Roman" w:cs="Times New Roman"/>
          <w:sz w:val="24"/>
          <w:szCs w:val="28"/>
        </w:rPr>
        <w:t>По данным управления Федеральной службы по надзору в сфере защиты прав потребителей и благополучия человека п</w:t>
      </w:r>
      <w:r w:rsidR="00161EC6">
        <w:rPr>
          <w:rFonts w:ascii="Times New Roman" w:hAnsi="Times New Roman" w:cs="Times New Roman"/>
          <w:sz w:val="24"/>
          <w:szCs w:val="28"/>
        </w:rPr>
        <w:t xml:space="preserve">о Ивановской области совместно </w:t>
      </w:r>
      <w:r w:rsidRPr="00161EC6">
        <w:rPr>
          <w:rFonts w:ascii="Times New Roman" w:hAnsi="Times New Roman" w:cs="Times New Roman"/>
          <w:sz w:val="24"/>
          <w:szCs w:val="28"/>
        </w:rPr>
        <w:t xml:space="preserve">с Центром гигиены и эпидемиологии в 2018 году на территории г. Иваново было отобрано 759 проб </w:t>
      </w:r>
      <w:r w:rsidRPr="00161EC6">
        <w:rPr>
          <w:rFonts w:ascii="Times New Roman" w:hAnsi="Times New Roman" w:cs="Times New Roman"/>
          <w:sz w:val="24"/>
          <w:szCs w:val="28"/>
        </w:rPr>
        <w:lastRenderedPageBreak/>
        <w:t xml:space="preserve">атмосферного воздуха, которые исследовались на содержание взвешенных веществ, диоксида серы, дигидросульфата, оксида углерода, диоксида азота, формальдегида, углеводородов и других загрязняющих веществ. Доля проб атмосферного воздуха </w:t>
      </w:r>
      <w:r w:rsidR="00975DEE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Pr="00161EC6">
        <w:rPr>
          <w:rFonts w:ascii="Times New Roman" w:hAnsi="Times New Roman" w:cs="Times New Roman"/>
          <w:sz w:val="24"/>
          <w:szCs w:val="28"/>
        </w:rPr>
        <w:t>с содержанием загрязняющих веществ в концентрациях, превышающих предельно допустимые, составила в 2018 году 0,1% (в 2017</w:t>
      </w:r>
      <w:r w:rsidR="00975DEE">
        <w:rPr>
          <w:rFonts w:ascii="Times New Roman" w:hAnsi="Times New Roman" w:cs="Times New Roman"/>
          <w:sz w:val="24"/>
          <w:szCs w:val="28"/>
        </w:rPr>
        <w:t xml:space="preserve"> </w:t>
      </w:r>
      <w:r w:rsidRPr="00161EC6">
        <w:rPr>
          <w:rFonts w:ascii="Times New Roman" w:hAnsi="Times New Roman" w:cs="Times New Roman"/>
          <w:sz w:val="24"/>
          <w:szCs w:val="28"/>
        </w:rPr>
        <w:t>г. – 0,6%).</w:t>
      </w:r>
    </w:p>
    <w:sectPr w:rsidR="00226200" w:rsidRPr="00161EC6" w:rsidSect="002E400F">
      <w:headerReference w:type="default" r:id="rId22"/>
      <w:headerReference w:type="first" r:id="rId23"/>
      <w:pgSz w:w="11906" w:h="16838"/>
      <w:pgMar w:top="1134" w:right="850" w:bottom="993" w:left="1701" w:header="708" w:footer="708" w:gutter="0"/>
      <w:pgNumType w:start="7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A2A5ADE" w15:done="0"/>
  <w15:commentEx w15:paraId="6D717640" w15:done="0"/>
  <w15:commentEx w15:paraId="487D2472" w15:done="0"/>
  <w15:commentEx w15:paraId="0C732BB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ABD1F" w14:textId="77777777" w:rsidR="00A32DD2" w:rsidRDefault="00A32DD2" w:rsidP="007B58B3">
      <w:pPr>
        <w:spacing w:after="0" w:line="240" w:lineRule="auto"/>
      </w:pPr>
      <w:r>
        <w:separator/>
      </w:r>
    </w:p>
  </w:endnote>
  <w:endnote w:type="continuationSeparator" w:id="0">
    <w:p w14:paraId="1C54951B" w14:textId="77777777" w:rsidR="00A32DD2" w:rsidRDefault="00A32DD2" w:rsidP="007B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6E78D" w14:textId="77777777" w:rsidR="00A32DD2" w:rsidRDefault="00A32DD2" w:rsidP="007B58B3">
      <w:pPr>
        <w:spacing w:after="0" w:line="240" w:lineRule="auto"/>
      </w:pPr>
      <w:r>
        <w:separator/>
      </w:r>
    </w:p>
  </w:footnote>
  <w:footnote w:type="continuationSeparator" w:id="0">
    <w:p w14:paraId="35A797D9" w14:textId="77777777" w:rsidR="00A32DD2" w:rsidRDefault="00A32DD2" w:rsidP="007B58B3">
      <w:pPr>
        <w:spacing w:after="0" w:line="240" w:lineRule="auto"/>
      </w:pPr>
      <w:r>
        <w:continuationSeparator/>
      </w:r>
    </w:p>
  </w:footnote>
  <w:footnote w:id="1">
    <w:p w14:paraId="69952D57" w14:textId="77777777" w:rsidR="0082386E" w:rsidRPr="00564434" w:rsidRDefault="0082386E" w:rsidP="003B6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434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564434">
        <w:rPr>
          <w:rFonts w:ascii="Times New Roman" w:hAnsi="Times New Roman" w:cs="Times New Roman"/>
          <w:sz w:val="20"/>
          <w:szCs w:val="20"/>
        </w:rPr>
        <w:t xml:space="preserve"> Постановление Администрации города Иванова от </w:t>
      </w:r>
      <w:r>
        <w:rPr>
          <w:rFonts w:ascii="Times New Roman" w:hAnsi="Times New Roman" w:cs="Times New Roman"/>
          <w:sz w:val="20"/>
          <w:szCs w:val="20"/>
        </w:rPr>
        <w:t>31</w:t>
      </w:r>
      <w:r w:rsidRPr="00564434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564434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564434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1495</w:t>
      </w:r>
      <w:r w:rsidRPr="00564434">
        <w:rPr>
          <w:rFonts w:ascii="Times New Roman" w:hAnsi="Times New Roman" w:cs="Times New Roman"/>
          <w:sz w:val="20"/>
          <w:szCs w:val="20"/>
        </w:rPr>
        <w:t xml:space="preserve"> «Об утверждении муниципальной программы города Иванова «Развитие субъектов малого и среднего предпринимательства в городе Иванове»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2">
    <w:p w14:paraId="1AF951BA" w14:textId="77777777" w:rsidR="0082386E" w:rsidRPr="00B84C4B" w:rsidRDefault="0082386E" w:rsidP="003B6FD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564434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564434">
        <w:rPr>
          <w:rFonts w:ascii="Times New Roman" w:hAnsi="Times New Roman" w:cs="Times New Roman"/>
          <w:sz w:val="20"/>
          <w:szCs w:val="20"/>
        </w:rPr>
        <w:t xml:space="preserve"> Постановление Ад</w:t>
      </w:r>
      <w:r>
        <w:rPr>
          <w:rFonts w:ascii="Times New Roman" w:hAnsi="Times New Roman" w:cs="Times New Roman"/>
          <w:sz w:val="20"/>
          <w:szCs w:val="20"/>
        </w:rPr>
        <w:t>министрации города Иванова от 13</w:t>
      </w:r>
      <w:r w:rsidRPr="00564434">
        <w:rPr>
          <w:rFonts w:ascii="Times New Roman" w:hAnsi="Times New Roman" w:cs="Times New Roman"/>
          <w:sz w:val="20"/>
          <w:szCs w:val="20"/>
        </w:rPr>
        <w:t>.11.201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564434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1494</w:t>
      </w:r>
      <w:r w:rsidRPr="00564434">
        <w:rPr>
          <w:rFonts w:ascii="Times New Roman" w:hAnsi="Times New Roman" w:cs="Times New Roman"/>
          <w:sz w:val="20"/>
          <w:szCs w:val="20"/>
        </w:rPr>
        <w:t xml:space="preserve"> «Об утверждении муниципальной программы города Иванова «Развитие инвестиционной деятельности и инновационной сферы в городе Иванове»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3">
    <w:p w14:paraId="67289A66" w14:textId="036B67BA" w:rsidR="00975DEE" w:rsidRPr="00F53763" w:rsidRDefault="00975DEE" w:rsidP="00975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3763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F53763">
        <w:rPr>
          <w:rFonts w:ascii="Times New Roman" w:hAnsi="Times New Roman" w:cs="Times New Roman"/>
          <w:sz w:val="20"/>
          <w:szCs w:val="20"/>
        </w:rPr>
        <w:t xml:space="preserve"> Решение Ивановской городской Думы от 24.10.2007 № 538 «О системе налогообложения в виде единого налога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53763">
        <w:rPr>
          <w:rFonts w:ascii="Times New Roman" w:hAnsi="Times New Roman" w:cs="Times New Roman"/>
          <w:sz w:val="20"/>
          <w:szCs w:val="20"/>
        </w:rPr>
        <w:t xml:space="preserve">на вмененный доход для отдельных видов деятельности». </w:t>
      </w:r>
    </w:p>
  </w:footnote>
  <w:footnote w:id="4">
    <w:p w14:paraId="2E50A555" w14:textId="77777777" w:rsidR="0082386E" w:rsidRPr="00F53763" w:rsidRDefault="0082386E" w:rsidP="003B6FD4">
      <w:pPr>
        <w:pStyle w:val="a5"/>
      </w:pPr>
      <w:r w:rsidRPr="00F53763">
        <w:rPr>
          <w:rStyle w:val="a7"/>
        </w:rPr>
        <w:footnoteRef/>
      </w:r>
      <w:r w:rsidRPr="00F53763">
        <w:t xml:space="preserve"> Данные на 30.06.2019.</w:t>
      </w:r>
    </w:p>
  </w:footnote>
  <w:footnote w:id="5">
    <w:p w14:paraId="66E37369" w14:textId="77777777" w:rsidR="0082386E" w:rsidRPr="00F53763" w:rsidRDefault="0082386E" w:rsidP="003B6FD4">
      <w:pPr>
        <w:pStyle w:val="a5"/>
      </w:pPr>
      <w:r w:rsidRPr="00F53763">
        <w:rPr>
          <w:rStyle w:val="a7"/>
        </w:rPr>
        <w:footnoteRef/>
      </w:r>
      <w:r w:rsidRPr="00F53763">
        <w:t xml:space="preserve"> Данные на 30.06.2019.</w:t>
      </w:r>
    </w:p>
  </w:footnote>
  <w:footnote w:id="6">
    <w:p w14:paraId="3ECF7290" w14:textId="77777777" w:rsidR="0082386E" w:rsidRPr="00766C51" w:rsidRDefault="0082386E" w:rsidP="003B6FD4">
      <w:pPr>
        <w:pStyle w:val="a5"/>
        <w:jc w:val="both"/>
      </w:pPr>
      <w:r w:rsidRPr="00766C51">
        <w:rPr>
          <w:rStyle w:val="a7"/>
        </w:rPr>
        <w:footnoteRef/>
      </w:r>
      <w:r w:rsidRPr="00766C51">
        <w:t xml:space="preserve"> Федеральный закон от 27.11.2017 № 349-ФЗ «О внесении изменений в часть вторую Налогового кодекса Российской Федерации».</w:t>
      </w:r>
    </w:p>
  </w:footnote>
  <w:footnote w:id="7">
    <w:p w14:paraId="1985BB3F" w14:textId="606948D3" w:rsidR="0082386E" w:rsidRDefault="0082386E" w:rsidP="003B6FD4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0361FF">
        <w:t xml:space="preserve">Федеральный закон от 06.06.2019 </w:t>
      </w:r>
      <w:r>
        <w:t>№</w:t>
      </w:r>
      <w:r w:rsidRPr="000361FF">
        <w:t xml:space="preserve"> 129-ФЗ</w:t>
      </w:r>
      <w:r>
        <w:t xml:space="preserve"> «</w:t>
      </w:r>
      <w:r w:rsidRPr="000361FF">
        <w:t>О внесении</w:t>
      </w:r>
      <w:r>
        <w:t xml:space="preserve"> изменений в Федеральный закон «</w:t>
      </w:r>
      <w:r w:rsidRPr="000361FF">
        <w:t>О применении контрольно-кассовой техники при осуществлении расчетов в Российской Федерации</w:t>
      </w:r>
      <w:r>
        <w:t>».</w:t>
      </w:r>
    </w:p>
  </w:footnote>
  <w:footnote w:id="8">
    <w:p w14:paraId="189A78AA" w14:textId="421BB133" w:rsidR="0082386E" w:rsidRDefault="0082386E">
      <w:pPr>
        <w:pStyle w:val="a5"/>
      </w:pPr>
      <w:r>
        <w:rPr>
          <w:rStyle w:val="a7"/>
        </w:rPr>
        <w:footnoteRef/>
      </w:r>
      <w:r>
        <w:t xml:space="preserve"> С учетом уточненных данных Ивановостат</w:t>
      </w:r>
    </w:p>
  </w:footnote>
  <w:footnote w:id="9">
    <w:p w14:paraId="3A6D26EB" w14:textId="77777777" w:rsidR="0082386E" w:rsidRPr="00E3487E" w:rsidRDefault="0082386E" w:rsidP="00734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01BB8">
        <w:rPr>
          <w:rStyle w:val="a7"/>
          <w:rFonts w:ascii="Times New Roman" w:hAnsi="Times New Roman" w:cs="Times New Roman"/>
        </w:rPr>
        <w:footnoteRef/>
      </w:r>
      <w:r w:rsidRPr="00201BB8">
        <w:rPr>
          <w:rFonts w:ascii="Times New Roman" w:hAnsi="Times New Roman" w:cs="Times New Roman"/>
        </w:rPr>
        <w:t xml:space="preserve"> </w:t>
      </w:r>
      <w:r w:rsidRPr="00E3487E">
        <w:rPr>
          <w:rFonts w:ascii="Times New Roman" w:hAnsi="Times New Roman" w:cs="Times New Roman"/>
          <w:sz w:val="20"/>
          <w:szCs w:val="24"/>
        </w:rPr>
        <w:t>Постановление Администрации города Иванова от 13.11.2018 № 1472 «Об утверждении муниципальной адресной инвестиционной программы города Иванова на 2019 - 2021 годы».</w:t>
      </w:r>
    </w:p>
    <w:p w14:paraId="087AE6B5" w14:textId="77777777" w:rsidR="0082386E" w:rsidRPr="0024788D" w:rsidRDefault="0082386E" w:rsidP="00734BF2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</w:footnote>
  <w:footnote w:id="10">
    <w:p w14:paraId="6DF15F5B" w14:textId="77777777" w:rsidR="0082386E" w:rsidRDefault="0082386E" w:rsidP="00D87560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F064C7">
        <w:t>Постановление Админист</w:t>
      </w:r>
      <w:r>
        <w:t>рации г. Иванова от 13.11.2018 №</w:t>
      </w:r>
      <w:r w:rsidRPr="00F064C7">
        <w:t xml:space="preserve"> 1496 </w:t>
      </w:r>
      <w:r>
        <w:t>«</w:t>
      </w:r>
      <w:r w:rsidRPr="00F064C7">
        <w:t>Об утвер</w:t>
      </w:r>
      <w:r>
        <w:t>ждении муниципальной программы «</w:t>
      </w:r>
      <w:r w:rsidRPr="00F064C7">
        <w:t>Развитие образования города Иванова</w:t>
      </w:r>
      <w:r>
        <w:t>».</w:t>
      </w:r>
    </w:p>
  </w:footnote>
  <w:footnote w:id="11">
    <w:p w14:paraId="5FE40956" w14:textId="531C2E48" w:rsidR="0082386E" w:rsidRDefault="0082386E" w:rsidP="00D87560">
      <w:pPr>
        <w:pStyle w:val="a5"/>
        <w:jc w:val="both"/>
      </w:pPr>
      <w:r>
        <w:rPr>
          <w:rStyle w:val="a7"/>
        </w:rPr>
        <w:footnoteRef/>
      </w:r>
      <w:r>
        <w:t xml:space="preserve"> Ранее при учете количества образовательных учреждений, оказывающих услугу «Дошкольное образование», отдельно не выделялись 3 </w:t>
      </w:r>
      <w:r w:rsidRPr="00D02F78">
        <w:t>муниципальны</w:t>
      </w:r>
      <w:r>
        <w:t>х</w:t>
      </w:r>
      <w:r w:rsidRPr="00D02F78">
        <w:t xml:space="preserve"> учреждени</w:t>
      </w:r>
      <w:r>
        <w:t xml:space="preserve">я </w:t>
      </w:r>
      <w:r w:rsidRPr="00D02F78">
        <w:t>дополнительного образования</w:t>
      </w:r>
      <w:r>
        <w:t xml:space="preserve"> (только </w:t>
      </w:r>
      <w:r w:rsidRPr="00D02F78">
        <w:t>муниципальны</w:t>
      </w:r>
      <w:r>
        <w:t xml:space="preserve">е </w:t>
      </w:r>
      <w:r w:rsidRPr="00D02F78">
        <w:t>дошкольны</w:t>
      </w:r>
      <w:r>
        <w:t>е</w:t>
      </w:r>
      <w:r w:rsidRPr="00D02F78">
        <w:t xml:space="preserve"> образовательны</w:t>
      </w:r>
      <w:r>
        <w:t>е</w:t>
      </w:r>
      <w:r w:rsidRPr="00D02F78">
        <w:t xml:space="preserve"> учреждени</w:t>
      </w:r>
      <w:r>
        <w:t xml:space="preserve">я и </w:t>
      </w:r>
      <w:r w:rsidRPr="00D02F78">
        <w:t>негосударственны</w:t>
      </w:r>
      <w:r>
        <w:t xml:space="preserve">е </w:t>
      </w:r>
      <w:r w:rsidRPr="00D02F78">
        <w:t>образовательны</w:t>
      </w:r>
      <w:r>
        <w:t>е</w:t>
      </w:r>
      <w:r w:rsidRPr="00D02F78">
        <w:t xml:space="preserve"> учреждени</w:t>
      </w:r>
      <w:r w:rsidR="00161EC6">
        <w:t xml:space="preserve">я), а детей, </w:t>
      </w:r>
      <w:r>
        <w:t xml:space="preserve">посещающих данные </w:t>
      </w:r>
      <w:r w:rsidRPr="00D02F78">
        <w:t>муниципальные учреждения дополнительного образования</w:t>
      </w:r>
      <w:r w:rsidR="00161EC6">
        <w:t>,</w:t>
      </w:r>
      <w:r>
        <w:t xml:space="preserve"> включали в численность обучающихся в </w:t>
      </w:r>
      <w:r w:rsidRPr="00D02F78">
        <w:t>муниципальны</w:t>
      </w:r>
      <w:r>
        <w:t>х</w:t>
      </w:r>
      <w:r w:rsidRPr="00D02F78">
        <w:t xml:space="preserve"> дошкольны</w:t>
      </w:r>
      <w:r>
        <w:t>х</w:t>
      </w:r>
      <w:r w:rsidRPr="00D02F78">
        <w:t xml:space="preserve"> образовательны</w:t>
      </w:r>
      <w:r>
        <w:t>х</w:t>
      </w:r>
      <w:r w:rsidRPr="00D02F78">
        <w:t xml:space="preserve"> учреждени</w:t>
      </w:r>
      <w:r>
        <w:t>ях. Соответственно</w:t>
      </w:r>
      <w:r w:rsidR="00161EC6">
        <w:t>,</w:t>
      </w:r>
      <w:r w:rsidRPr="00D02F78">
        <w:t xml:space="preserve"> количеств</w:t>
      </w:r>
      <w:r>
        <w:t>о</w:t>
      </w:r>
      <w:r w:rsidRPr="00D02F78">
        <w:t xml:space="preserve"> образовательных учреждений, оказывающих услугу «Дошкольное образование»</w:t>
      </w:r>
      <w:r w:rsidR="00161EC6">
        <w:t>,</w:t>
      </w:r>
      <w:r w:rsidRPr="00D02F78">
        <w:t xml:space="preserve"> </w:t>
      </w:r>
      <w:r>
        <w:t>в 2017 году составляло 145 учреждений (</w:t>
      </w:r>
      <w:r w:rsidRPr="00910C47">
        <w:t>135</w:t>
      </w:r>
      <w:r>
        <w:t xml:space="preserve"> - МДОУ</w:t>
      </w:r>
      <w:r w:rsidRPr="00910C47">
        <w:t xml:space="preserve">, 3 </w:t>
      </w:r>
      <w:r>
        <w:t xml:space="preserve">– МУДО </w:t>
      </w:r>
      <w:r w:rsidRPr="00910C47">
        <w:t>и 7</w:t>
      </w:r>
      <w:r>
        <w:t xml:space="preserve"> – НОУ), а не 142</w:t>
      </w:r>
      <w:r w:rsidR="00975DEE">
        <w:t xml:space="preserve">                    </w:t>
      </w:r>
      <w:r>
        <w:t xml:space="preserve"> (135-МДОУ и 7-НОУ), как было учтено в пояснительной записке к прогнозу на 2019-</w:t>
      </w:r>
      <w:r w:rsidRPr="00D02F78">
        <w:t xml:space="preserve"> 2021 гг.</w:t>
      </w:r>
      <w:r>
        <w:t xml:space="preserve"> </w:t>
      </w:r>
    </w:p>
  </w:footnote>
  <w:footnote w:id="12">
    <w:p w14:paraId="4A471C02" w14:textId="77777777" w:rsidR="0082386E" w:rsidRDefault="0082386E" w:rsidP="00D87560">
      <w:pPr>
        <w:pStyle w:val="a5"/>
        <w:jc w:val="both"/>
      </w:pPr>
      <w:r>
        <w:rPr>
          <w:rStyle w:val="a7"/>
        </w:rPr>
        <w:footnoteRef/>
      </w:r>
      <w:r>
        <w:t xml:space="preserve"> Постановление Администрации </w:t>
      </w:r>
      <w:r w:rsidRPr="005D2719">
        <w:t>города Иванова от 06.07.2018 № 837 «О принятии в муниципальную собственность города Иванова имущества открытого акционерного общества «Российские железные дороги»</w:t>
      </w:r>
      <w:r>
        <w:t>.</w:t>
      </w:r>
    </w:p>
  </w:footnote>
  <w:footnote w:id="13">
    <w:p w14:paraId="250A448E" w14:textId="77777777" w:rsidR="0082386E" w:rsidRDefault="0082386E" w:rsidP="00D87560">
      <w:pPr>
        <w:pStyle w:val="a5"/>
        <w:jc w:val="both"/>
      </w:pPr>
      <w:r>
        <w:rPr>
          <w:rStyle w:val="a7"/>
        </w:rPr>
        <w:footnoteRef/>
      </w:r>
      <w:r>
        <w:t xml:space="preserve"> Постановление Администрации </w:t>
      </w:r>
      <w:r w:rsidRPr="005D2719">
        <w:t xml:space="preserve">города Иванова от </w:t>
      </w:r>
      <w:r>
        <w:t>21.01.2019</w:t>
      </w:r>
      <w:r w:rsidRPr="005D2719">
        <w:t xml:space="preserve"> № </w:t>
      </w:r>
      <w:r>
        <w:t>25</w:t>
      </w:r>
      <w:r w:rsidRPr="005D2719">
        <w:t xml:space="preserve"> «О </w:t>
      </w:r>
      <w:r>
        <w:t xml:space="preserve">реорганизации муниципального бюджетного дошкольного образовательного учреждения </w:t>
      </w:r>
      <w:r w:rsidRPr="00B03A31">
        <w:t>«Детский сад № 132»</w:t>
      </w:r>
      <w:r>
        <w:t>.</w:t>
      </w:r>
    </w:p>
  </w:footnote>
  <w:footnote w:id="14">
    <w:p w14:paraId="15F4CE89" w14:textId="77777777" w:rsidR="0082386E" w:rsidRDefault="0082386E" w:rsidP="00D87560">
      <w:pPr>
        <w:spacing w:after="0" w:line="240" w:lineRule="auto"/>
        <w:jc w:val="both"/>
      </w:pPr>
      <w:r>
        <w:rPr>
          <w:rStyle w:val="a7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Численность детей в дошкольных образовательных учреждениях представлена с учетом негосударственных дошкольных учреждений по г. Иваново.</w:t>
      </w:r>
    </w:p>
  </w:footnote>
  <w:footnote w:id="15">
    <w:p w14:paraId="6BA4142A" w14:textId="77777777" w:rsidR="0082386E" w:rsidRDefault="0082386E" w:rsidP="0024203D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F064C7">
        <w:t>Постановление Админист</w:t>
      </w:r>
      <w:r>
        <w:t>рации г. Иванова от 13.11.2018 №</w:t>
      </w:r>
      <w:r w:rsidRPr="00F064C7">
        <w:t xml:space="preserve"> 1496 </w:t>
      </w:r>
      <w:r>
        <w:t>«</w:t>
      </w:r>
      <w:r w:rsidRPr="00F064C7">
        <w:t>Об утвер</w:t>
      </w:r>
      <w:r>
        <w:t>ждении муниципальной программы «</w:t>
      </w:r>
      <w:r w:rsidRPr="00F064C7">
        <w:t>Развитие образования города Иванова</w:t>
      </w:r>
      <w:r>
        <w:t>».</w:t>
      </w:r>
    </w:p>
  </w:footnote>
  <w:footnote w:id="16">
    <w:p w14:paraId="10A68A85" w14:textId="456916D5" w:rsidR="0082386E" w:rsidRDefault="0082386E" w:rsidP="00C60889">
      <w:pPr>
        <w:pStyle w:val="a5"/>
        <w:jc w:val="both"/>
      </w:pPr>
      <w:r>
        <w:rPr>
          <w:rStyle w:val="a7"/>
        </w:rPr>
        <w:footnoteRef/>
      </w:r>
      <w:r>
        <w:t xml:space="preserve"> П</w:t>
      </w:r>
      <w:r w:rsidRPr="00786F5D">
        <w:t xml:space="preserve">о факту 2018 года  показатель приведен в соответствие с </w:t>
      </w:r>
      <w:r>
        <w:t xml:space="preserve">отчетом о реализации </w:t>
      </w:r>
      <w:r w:rsidRPr="001A65D6">
        <w:t xml:space="preserve">муниципальной программы </w:t>
      </w:r>
      <w:r>
        <w:t>«</w:t>
      </w:r>
      <w:r w:rsidRPr="001A65D6">
        <w:t>Развитие физической культуры и спорта в городе Иванове</w:t>
      </w:r>
      <w:r>
        <w:t>»</w:t>
      </w:r>
      <w:r w:rsidRPr="001A65D6">
        <w:t xml:space="preserve"> </w:t>
      </w:r>
      <w:r>
        <w:t>и составил 31,71%, который был рассчитан по</w:t>
      </w:r>
      <w:r w:rsidRPr="00786F5D">
        <w:t xml:space="preserve"> предварительны</w:t>
      </w:r>
      <w:r>
        <w:t>м</w:t>
      </w:r>
      <w:r w:rsidRPr="00786F5D">
        <w:t xml:space="preserve"> данны</w:t>
      </w:r>
      <w:r>
        <w:t>м</w:t>
      </w:r>
      <w:r w:rsidRPr="00786F5D">
        <w:t xml:space="preserve"> Ивановостат по численности населения на конец </w:t>
      </w:r>
      <w:r>
        <w:t xml:space="preserve">2018 </w:t>
      </w:r>
      <w:r w:rsidRPr="00786F5D">
        <w:t xml:space="preserve">года </w:t>
      </w:r>
      <w:r w:rsidR="00975DEE">
        <w:t>–</w:t>
      </w:r>
      <w:r>
        <w:t xml:space="preserve"> </w:t>
      </w:r>
      <w:r w:rsidR="00975DEE">
        <w:t xml:space="preserve">                  </w:t>
      </w:r>
      <w:r w:rsidRPr="00786F5D">
        <w:t xml:space="preserve">404 778 чел., после </w:t>
      </w:r>
      <w:r>
        <w:t xml:space="preserve">полученной </w:t>
      </w:r>
      <w:r w:rsidRPr="00786F5D">
        <w:t>уточненной информации</w:t>
      </w:r>
      <w:r>
        <w:t xml:space="preserve"> от Ивановостат </w:t>
      </w:r>
      <w:r w:rsidRPr="00786F5D">
        <w:t xml:space="preserve">по численности населения на конец года </w:t>
      </w:r>
      <w:r>
        <w:t xml:space="preserve"> (</w:t>
      </w:r>
      <w:r w:rsidRPr="00786F5D">
        <w:t>405</w:t>
      </w:r>
      <w:r>
        <w:t xml:space="preserve"> </w:t>
      </w:r>
      <w:r w:rsidRPr="00786F5D">
        <w:t>053 чел.</w:t>
      </w:r>
      <w:r>
        <w:t>)</w:t>
      </w:r>
      <w:r w:rsidRPr="00786F5D">
        <w:t xml:space="preserve"> доля </w:t>
      </w:r>
      <w:r w:rsidRPr="003355E2">
        <w:t>населения, занимающегося физкультурой и спортом,</w:t>
      </w:r>
      <w:r>
        <w:t xml:space="preserve"> </w:t>
      </w:r>
      <w:r w:rsidRPr="003355E2">
        <w:t xml:space="preserve">от общей численности населения </w:t>
      </w:r>
      <w:r>
        <w:t xml:space="preserve">составила </w:t>
      </w:r>
      <w:r w:rsidRPr="00786F5D">
        <w:t>31,69%.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687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E143158" w14:textId="4382FB53" w:rsidR="0082386E" w:rsidRPr="002E400F" w:rsidRDefault="0082386E" w:rsidP="002E400F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2E400F">
          <w:rPr>
            <w:rFonts w:ascii="Times New Roman" w:hAnsi="Times New Roman" w:cs="Times New Roman"/>
            <w:sz w:val="24"/>
          </w:rPr>
          <w:fldChar w:fldCharType="begin"/>
        </w:r>
        <w:r w:rsidRPr="002E400F">
          <w:rPr>
            <w:rFonts w:ascii="Times New Roman" w:hAnsi="Times New Roman" w:cs="Times New Roman"/>
            <w:sz w:val="24"/>
          </w:rPr>
          <w:instrText>PAGE   \* MERGEFORMAT</w:instrText>
        </w:r>
        <w:r w:rsidRPr="002E400F">
          <w:rPr>
            <w:rFonts w:ascii="Times New Roman" w:hAnsi="Times New Roman" w:cs="Times New Roman"/>
            <w:sz w:val="24"/>
          </w:rPr>
          <w:fldChar w:fldCharType="separate"/>
        </w:r>
        <w:r w:rsidR="006A4581">
          <w:rPr>
            <w:rFonts w:ascii="Times New Roman" w:hAnsi="Times New Roman" w:cs="Times New Roman"/>
            <w:noProof/>
            <w:sz w:val="24"/>
          </w:rPr>
          <w:t>8</w:t>
        </w:r>
        <w:r w:rsidRPr="002E400F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20741"/>
      <w:docPartObj>
        <w:docPartGallery w:val="Page Numbers (Top of Page)"/>
        <w:docPartUnique/>
      </w:docPartObj>
    </w:sdtPr>
    <w:sdtEndPr/>
    <w:sdtContent>
      <w:p w14:paraId="5EE0370E" w14:textId="5A06EE60" w:rsidR="0082386E" w:rsidRDefault="0082386E" w:rsidP="002E400F">
        <w:pPr>
          <w:pStyle w:val="aa"/>
          <w:jc w:val="center"/>
        </w:pPr>
        <w:r w:rsidRPr="002E40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400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40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4581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2E400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D6A7B"/>
    <w:multiLevelType w:val="hybridMultilevel"/>
    <w:tmpl w:val="55C4C7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0F1416"/>
    <w:multiLevelType w:val="multilevel"/>
    <w:tmpl w:val="ACFCE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4CA34899"/>
    <w:multiLevelType w:val="hybridMultilevel"/>
    <w:tmpl w:val="752CABD0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>
    <w:nsid w:val="539C56F2"/>
    <w:multiLevelType w:val="hybridMultilevel"/>
    <w:tmpl w:val="A2784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F45C5"/>
    <w:multiLevelType w:val="hybridMultilevel"/>
    <w:tmpl w:val="C07852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5D86BBE"/>
    <w:multiLevelType w:val="hybridMultilevel"/>
    <w:tmpl w:val="71FEBEA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5C"/>
    <w:rsid w:val="0000331F"/>
    <w:rsid w:val="00004F12"/>
    <w:rsid w:val="00006FB6"/>
    <w:rsid w:val="0001262A"/>
    <w:rsid w:val="000151DC"/>
    <w:rsid w:val="00022197"/>
    <w:rsid w:val="00043ABE"/>
    <w:rsid w:val="00045C42"/>
    <w:rsid w:val="00047FCF"/>
    <w:rsid w:val="0005022C"/>
    <w:rsid w:val="0005589B"/>
    <w:rsid w:val="00072B93"/>
    <w:rsid w:val="00076C49"/>
    <w:rsid w:val="00082BA4"/>
    <w:rsid w:val="00087834"/>
    <w:rsid w:val="000D4983"/>
    <w:rsid w:val="000E0699"/>
    <w:rsid w:val="000F4E20"/>
    <w:rsid w:val="001018D6"/>
    <w:rsid w:val="00106E66"/>
    <w:rsid w:val="00111869"/>
    <w:rsid w:val="001232B9"/>
    <w:rsid w:val="0012352E"/>
    <w:rsid w:val="0013050C"/>
    <w:rsid w:val="0013093C"/>
    <w:rsid w:val="00134210"/>
    <w:rsid w:val="00136F4D"/>
    <w:rsid w:val="00146F5B"/>
    <w:rsid w:val="00161297"/>
    <w:rsid w:val="00161EC6"/>
    <w:rsid w:val="0018309F"/>
    <w:rsid w:val="00184792"/>
    <w:rsid w:val="00193414"/>
    <w:rsid w:val="001A1B58"/>
    <w:rsid w:val="001A2093"/>
    <w:rsid w:val="001A221A"/>
    <w:rsid w:val="001A27DA"/>
    <w:rsid w:val="001A4DDE"/>
    <w:rsid w:val="001B18D9"/>
    <w:rsid w:val="001B3E76"/>
    <w:rsid w:val="001B66FF"/>
    <w:rsid w:val="001B75E7"/>
    <w:rsid w:val="001C55A2"/>
    <w:rsid w:val="001C65D3"/>
    <w:rsid w:val="001C79A4"/>
    <w:rsid w:val="001C7EE3"/>
    <w:rsid w:val="001D02D4"/>
    <w:rsid w:val="001D0F13"/>
    <w:rsid w:val="001D59C0"/>
    <w:rsid w:val="001E226B"/>
    <w:rsid w:val="001E3C57"/>
    <w:rsid w:val="001E43E4"/>
    <w:rsid w:val="001F492F"/>
    <w:rsid w:val="001F63BB"/>
    <w:rsid w:val="001F6B4B"/>
    <w:rsid w:val="00201BB8"/>
    <w:rsid w:val="00213B42"/>
    <w:rsid w:val="00222834"/>
    <w:rsid w:val="00226200"/>
    <w:rsid w:val="00226CD8"/>
    <w:rsid w:val="002303D3"/>
    <w:rsid w:val="00230EEE"/>
    <w:rsid w:val="0023112E"/>
    <w:rsid w:val="00232C2A"/>
    <w:rsid w:val="0024203D"/>
    <w:rsid w:val="0025592A"/>
    <w:rsid w:val="002579C0"/>
    <w:rsid w:val="0026183A"/>
    <w:rsid w:val="00262D89"/>
    <w:rsid w:val="00271935"/>
    <w:rsid w:val="002736F6"/>
    <w:rsid w:val="00280B43"/>
    <w:rsid w:val="002841F9"/>
    <w:rsid w:val="00284882"/>
    <w:rsid w:val="00286FAB"/>
    <w:rsid w:val="0029172E"/>
    <w:rsid w:val="00295C12"/>
    <w:rsid w:val="00297364"/>
    <w:rsid w:val="002A222F"/>
    <w:rsid w:val="002A33E4"/>
    <w:rsid w:val="002A3CEF"/>
    <w:rsid w:val="002C235A"/>
    <w:rsid w:val="002C47BE"/>
    <w:rsid w:val="002C70AC"/>
    <w:rsid w:val="002C7B5D"/>
    <w:rsid w:val="002D3708"/>
    <w:rsid w:val="002D59D1"/>
    <w:rsid w:val="002E1D1D"/>
    <w:rsid w:val="002E2F71"/>
    <w:rsid w:val="002E400F"/>
    <w:rsid w:val="002E4FBB"/>
    <w:rsid w:val="002F0AAB"/>
    <w:rsid w:val="00307081"/>
    <w:rsid w:val="003124B4"/>
    <w:rsid w:val="0031253C"/>
    <w:rsid w:val="00316FD1"/>
    <w:rsid w:val="00323F9C"/>
    <w:rsid w:val="00330BCB"/>
    <w:rsid w:val="00346EF8"/>
    <w:rsid w:val="003513E2"/>
    <w:rsid w:val="0035581B"/>
    <w:rsid w:val="0036203A"/>
    <w:rsid w:val="00364422"/>
    <w:rsid w:val="00365819"/>
    <w:rsid w:val="00370987"/>
    <w:rsid w:val="00371376"/>
    <w:rsid w:val="003734FE"/>
    <w:rsid w:val="0037684C"/>
    <w:rsid w:val="00380324"/>
    <w:rsid w:val="00383949"/>
    <w:rsid w:val="00390928"/>
    <w:rsid w:val="00396B7E"/>
    <w:rsid w:val="003B2E9D"/>
    <w:rsid w:val="003B6FD4"/>
    <w:rsid w:val="003C1F35"/>
    <w:rsid w:val="003C672A"/>
    <w:rsid w:val="003C7410"/>
    <w:rsid w:val="003D1214"/>
    <w:rsid w:val="003D151B"/>
    <w:rsid w:val="003D7A01"/>
    <w:rsid w:val="003D7C65"/>
    <w:rsid w:val="003E258A"/>
    <w:rsid w:val="003E5B90"/>
    <w:rsid w:val="003F7D83"/>
    <w:rsid w:val="00403477"/>
    <w:rsid w:val="00405E8D"/>
    <w:rsid w:val="00406C77"/>
    <w:rsid w:val="00407A7A"/>
    <w:rsid w:val="00417262"/>
    <w:rsid w:val="00441C2C"/>
    <w:rsid w:val="0044357B"/>
    <w:rsid w:val="00447F0B"/>
    <w:rsid w:val="00453582"/>
    <w:rsid w:val="00453673"/>
    <w:rsid w:val="0045492F"/>
    <w:rsid w:val="004745D8"/>
    <w:rsid w:val="004748BC"/>
    <w:rsid w:val="00487D4C"/>
    <w:rsid w:val="004917D1"/>
    <w:rsid w:val="004936C8"/>
    <w:rsid w:val="00494F98"/>
    <w:rsid w:val="004B48DB"/>
    <w:rsid w:val="004C0C35"/>
    <w:rsid w:val="004C64EA"/>
    <w:rsid w:val="004D72C7"/>
    <w:rsid w:val="004E622B"/>
    <w:rsid w:val="004F7802"/>
    <w:rsid w:val="005154CF"/>
    <w:rsid w:val="00515867"/>
    <w:rsid w:val="00520A39"/>
    <w:rsid w:val="00551C98"/>
    <w:rsid w:val="0055563A"/>
    <w:rsid w:val="00561ACE"/>
    <w:rsid w:val="00564331"/>
    <w:rsid w:val="00564434"/>
    <w:rsid w:val="00565602"/>
    <w:rsid w:val="005725B5"/>
    <w:rsid w:val="00574E2F"/>
    <w:rsid w:val="00577447"/>
    <w:rsid w:val="00583938"/>
    <w:rsid w:val="005922B1"/>
    <w:rsid w:val="0059683C"/>
    <w:rsid w:val="005A006A"/>
    <w:rsid w:val="005A169D"/>
    <w:rsid w:val="005A250D"/>
    <w:rsid w:val="005A2F23"/>
    <w:rsid w:val="005B0051"/>
    <w:rsid w:val="005B1802"/>
    <w:rsid w:val="005B1A2E"/>
    <w:rsid w:val="005B38E6"/>
    <w:rsid w:val="005C2F46"/>
    <w:rsid w:val="005C6CB8"/>
    <w:rsid w:val="005C745C"/>
    <w:rsid w:val="005D66E1"/>
    <w:rsid w:val="005D7D37"/>
    <w:rsid w:val="005F56C4"/>
    <w:rsid w:val="005F5D7D"/>
    <w:rsid w:val="005F7F5F"/>
    <w:rsid w:val="00601AFB"/>
    <w:rsid w:val="006201FC"/>
    <w:rsid w:val="00620211"/>
    <w:rsid w:val="00621463"/>
    <w:rsid w:val="00626302"/>
    <w:rsid w:val="00626CB5"/>
    <w:rsid w:val="006278DD"/>
    <w:rsid w:val="00635EF3"/>
    <w:rsid w:val="00640BF2"/>
    <w:rsid w:val="006435B5"/>
    <w:rsid w:val="0064699E"/>
    <w:rsid w:val="00651132"/>
    <w:rsid w:val="00656597"/>
    <w:rsid w:val="00657181"/>
    <w:rsid w:val="006723DA"/>
    <w:rsid w:val="0068380C"/>
    <w:rsid w:val="006852F6"/>
    <w:rsid w:val="00685C52"/>
    <w:rsid w:val="006871C4"/>
    <w:rsid w:val="0069032A"/>
    <w:rsid w:val="00693729"/>
    <w:rsid w:val="006958A8"/>
    <w:rsid w:val="006A4581"/>
    <w:rsid w:val="006B6D1E"/>
    <w:rsid w:val="006C18D1"/>
    <w:rsid w:val="006C6DB2"/>
    <w:rsid w:val="006D78E5"/>
    <w:rsid w:val="006E0B76"/>
    <w:rsid w:val="006E4FD1"/>
    <w:rsid w:val="006E5182"/>
    <w:rsid w:val="006E5702"/>
    <w:rsid w:val="006F1008"/>
    <w:rsid w:val="006F2E58"/>
    <w:rsid w:val="007026FF"/>
    <w:rsid w:val="0071030E"/>
    <w:rsid w:val="00714AA0"/>
    <w:rsid w:val="00715F9E"/>
    <w:rsid w:val="00723D5C"/>
    <w:rsid w:val="00732483"/>
    <w:rsid w:val="00732C0F"/>
    <w:rsid w:val="00733232"/>
    <w:rsid w:val="00734BF2"/>
    <w:rsid w:val="00741073"/>
    <w:rsid w:val="00744204"/>
    <w:rsid w:val="00750141"/>
    <w:rsid w:val="00753E40"/>
    <w:rsid w:val="0075630F"/>
    <w:rsid w:val="007568DA"/>
    <w:rsid w:val="007610F5"/>
    <w:rsid w:val="00762C07"/>
    <w:rsid w:val="00764A28"/>
    <w:rsid w:val="00764D55"/>
    <w:rsid w:val="00772187"/>
    <w:rsid w:val="00785587"/>
    <w:rsid w:val="00787039"/>
    <w:rsid w:val="007922EB"/>
    <w:rsid w:val="00794732"/>
    <w:rsid w:val="007960A3"/>
    <w:rsid w:val="0079644E"/>
    <w:rsid w:val="007A1F69"/>
    <w:rsid w:val="007B3B07"/>
    <w:rsid w:val="007B58B3"/>
    <w:rsid w:val="007B6CCB"/>
    <w:rsid w:val="007B7B21"/>
    <w:rsid w:val="007C0B2E"/>
    <w:rsid w:val="007C2702"/>
    <w:rsid w:val="007C3BA7"/>
    <w:rsid w:val="007C549F"/>
    <w:rsid w:val="007C79DB"/>
    <w:rsid w:val="007D66C8"/>
    <w:rsid w:val="007E086D"/>
    <w:rsid w:val="007E246B"/>
    <w:rsid w:val="007E4A23"/>
    <w:rsid w:val="007E4CDD"/>
    <w:rsid w:val="007E57C2"/>
    <w:rsid w:val="007E6ED5"/>
    <w:rsid w:val="007F11EC"/>
    <w:rsid w:val="007F1A68"/>
    <w:rsid w:val="00804A09"/>
    <w:rsid w:val="0080744C"/>
    <w:rsid w:val="00807E1C"/>
    <w:rsid w:val="008138E1"/>
    <w:rsid w:val="0082386E"/>
    <w:rsid w:val="008307F8"/>
    <w:rsid w:val="00832861"/>
    <w:rsid w:val="008364FB"/>
    <w:rsid w:val="00837899"/>
    <w:rsid w:val="0084120C"/>
    <w:rsid w:val="008415CB"/>
    <w:rsid w:val="008757CE"/>
    <w:rsid w:val="00876E2E"/>
    <w:rsid w:val="008777FD"/>
    <w:rsid w:val="008B0989"/>
    <w:rsid w:val="008B4A55"/>
    <w:rsid w:val="008C0A90"/>
    <w:rsid w:val="008D141E"/>
    <w:rsid w:val="008D426F"/>
    <w:rsid w:val="008E0DAC"/>
    <w:rsid w:val="008E154E"/>
    <w:rsid w:val="008F1EB5"/>
    <w:rsid w:val="00903350"/>
    <w:rsid w:val="00906AFC"/>
    <w:rsid w:val="00907D8C"/>
    <w:rsid w:val="00924BE5"/>
    <w:rsid w:val="00932819"/>
    <w:rsid w:val="009336DF"/>
    <w:rsid w:val="00943508"/>
    <w:rsid w:val="0094787A"/>
    <w:rsid w:val="00951D91"/>
    <w:rsid w:val="009560B9"/>
    <w:rsid w:val="00965818"/>
    <w:rsid w:val="00967946"/>
    <w:rsid w:val="00973F1B"/>
    <w:rsid w:val="00975DEE"/>
    <w:rsid w:val="00981C08"/>
    <w:rsid w:val="00981EA4"/>
    <w:rsid w:val="00982D3F"/>
    <w:rsid w:val="009837F2"/>
    <w:rsid w:val="00983CF6"/>
    <w:rsid w:val="0099211E"/>
    <w:rsid w:val="00993A5E"/>
    <w:rsid w:val="00993A86"/>
    <w:rsid w:val="00994545"/>
    <w:rsid w:val="00996274"/>
    <w:rsid w:val="00997540"/>
    <w:rsid w:val="009A5C7D"/>
    <w:rsid w:val="009A63AE"/>
    <w:rsid w:val="009A7A37"/>
    <w:rsid w:val="009B440A"/>
    <w:rsid w:val="009B6632"/>
    <w:rsid w:val="009B6E66"/>
    <w:rsid w:val="009B7C1C"/>
    <w:rsid w:val="009C3B24"/>
    <w:rsid w:val="009C3E0A"/>
    <w:rsid w:val="009C7361"/>
    <w:rsid w:val="009D268A"/>
    <w:rsid w:val="009D30C0"/>
    <w:rsid w:val="009D483E"/>
    <w:rsid w:val="009E753E"/>
    <w:rsid w:val="009F33D7"/>
    <w:rsid w:val="009F7498"/>
    <w:rsid w:val="00A03C9F"/>
    <w:rsid w:val="00A064A2"/>
    <w:rsid w:val="00A16274"/>
    <w:rsid w:val="00A32DD2"/>
    <w:rsid w:val="00A33C56"/>
    <w:rsid w:val="00A41B97"/>
    <w:rsid w:val="00A53513"/>
    <w:rsid w:val="00A54B73"/>
    <w:rsid w:val="00A55234"/>
    <w:rsid w:val="00A573CA"/>
    <w:rsid w:val="00A60A67"/>
    <w:rsid w:val="00A6306E"/>
    <w:rsid w:val="00A65546"/>
    <w:rsid w:val="00A661B6"/>
    <w:rsid w:val="00A72A1A"/>
    <w:rsid w:val="00A73098"/>
    <w:rsid w:val="00A7491F"/>
    <w:rsid w:val="00A74F41"/>
    <w:rsid w:val="00A81863"/>
    <w:rsid w:val="00A917BD"/>
    <w:rsid w:val="00A93960"/>
    <w:rsid w:val="00A97FDF"/>
    <w:rsid w:val="00AA7743"/>
    <w:rsid w:val="00AB119E"/>
    <w:rsid w:val="00AB45E0"/>
    <w:rsid w:val="00AB4CB9"/>
    <w:rsid w:val="00AD1CE6"/>
    <w:rsid w:val="00AD7253"/>
    <w:rsid w:val="00B10F4B"/>
    <w:rsid w:val="00B127BB"/>
    <w:rsid w:val="00B17698"/>
    <w:rsid w:val="00B22683"/>
    <w:rsid w:val="00B239BB"/>
    <w:rsid w:val="00B32F28"/>
    <w:rsid w:val="00B37096"/>
    <w:rsid w:val="00B43C34"/>
    <w:rsid w:val="00B44DE1"/>
    <w:rsid w:val="00B5341F"/>
    <w:rsid w:val="00B54136"/>
    <w:rsid w:val="00B54C48"/>
    <w:rsid w:val="00B643D2"/>
    <w:rsid w:val="00B65C95"/>
    <w:rsid w:val="00B66E17"/>
    <w:rsid w:val="00B67390"/>
    <w:rsid w:val="00B74A78"/>
    <w:rsid w:val="00B74D1F"/>
    <w:rsid w:val="00B7637A"/>
    <w:rsid w:val="00B8174E"/>
    <w:rsid w:val="00B84554"/>
    <w:rsid w:val="00BA137B"/>
    <w:rsid w:val="00BA1B80"/>
    <w:rsid w:val="00BA6501"/>
    <w:rsid w:val="00BB7F75"/>
    <w:rsid w:val="00BC6AEF"/>
    <w:rsid w:val="00BC7679"/>
    <w:rsid w:val="00BD2B8B"/>
    <w:rsid w:val="00BD376E"/>
    <w:rsid w:val="00BD54B9"/>
    <w:rsid w:val="00BE00D5"/>
    <w:rsid w:val="00BE0A8B"/>
    <w:rsid w:val="00BE19A5"/>
    <w:rsid w:val="00BE4F29"/>
    <w:rsid w:val="00BE585B"/>
    <w:rsid w:val="00BF0085"/>
    <w:rsid w:val="00BF6726"/>
    <w:rsid w:val="00C04537"/>
    <w:rsid w:val="00C04F28"/>
    <w:rsid w:val="00C07EBA"/>
    <w:rsid w:val="00C12CCA"/>
    <w:rsid w:val="00C137EC"/>
    <w:rsid w:val="00C21826"/>
    <w:rsid w:val="00C23F02"/>
    <w:rsid w:val="00C30730"/>
    <w:rsid w:val="00C32C55"/>
    <w:rsid w:val="00C35572"/>
    <w:rsid w:val="00C45F0B"/>
    <w:rsid w:val="00C5652B"/>
    <w:rsid w:val="00C57BD3"/>
    <w:rsid w:val="00C60242"/>
    <w:rsid w:val="00C60889"/>
    <w:rsid w:val="00C677C2"/>
    <w:rsid w:val="00C72483"/>
    <w:rsid w:val="00C842D5"/>
    <w:rsid w:val="00C87CCF"/>
    <w:rsid w:val="00C90327"/>
    <w:rsid w:val="00C921F8"/>
    <w:rsid w:val="00C95D21"/>
    <w:rsid w:val="00CA5B3E"/>
    <w:rsid w:val="00CB05CD"/>
    <w:rsid w:val="00CC15A6"/>
    <w:rsid w:val="00CC7009"/>
    <w:rsid w:val="00CE1EEC"/>
    <w:rsid w:val="00CF712E"/>
    <w:rsid w:val="00D10C21"/>
    <w:rsid w:val="00D1121A"/>
    <w:rsid w:val="00D13696"/>
    <w:rsid w:val="00D23A73"/>
    <w:rsid w:val="00D4576E"/>
    <w:rsid w:val="00D53652"/>
    <w:rsid w:val="00D55681"/>
    <w:rsid w:val="00D57369"/>
    <w:rsid w:val="00D605A6"/>
    <w:rsid w:val="00D6310A"/>
    <w:rsid w:val="00D6391F"/>
    <w:rsid w:val="00D74CEE"/>
    <w:rsid w:val="00D8001D"/>
    <w:rsid w:val="00D84D29"/>
    <w:rsid w:val="00D87560"/>
    <w:rsid w:val="00DB4D71"/>
    <w:rsid w:val="00DC6BAC"/>
    <w:rsid w:val="00DD1DDB"/>
    <w:rsid w:val="00DD28AD"/>
    <w:rsid w:val="00DD4C3A"/>
    <w:rsid w:val="00DD6FF1"/>
    <w:rsid w:val="00DE7866"/>
    <w:rsid w:val="00DF2AC8"/>
    <w:rsid w:val="00DF6635"/>
    <w:rsid w:val="00E01318"/>
    <w:rsid w:val="00E11B04"/>
    <w:rsid w:val="00E2394D"/>
    <w:rsid w:val="00E25535"/>
    <w:rsid w:val="00E257C2"/>
    <w:rsid w:val="00E314D1"/>
    <w:rsid w:val="00E3487E"/>
    <w:rsid w:val="00E43538"/>
    <w:rsid w:val="00E6378A"/>
    <w:rsid w:val="00E747F8"/>
    <w:rsid w:val="00E813FF"/>
    <w:rsid w:val="00EA0BDD"/>
    <w:rsid w:val="00EB0721"/>
    <w:rsid w:val="00EB293E"/>
    <w:rsid w:val="00EB5E08"/>
    <w:rsid w:val="00EC2768"/>
    <w:rsid w:val="00EC54CC"/>
    <w:rsid w:val="00EC711F"/>
    <w:rsid w:val="00ED2DAE"/>
    <w:rsid w:val="00EE12DD"/>
    <w:rsid w:val="00EE1E4E"/>
    <w:rsid w:val="00EE3C1B"/>
    <w:rsid w:val="00EF255B"/>
    <w:rsid w:val="00EF5234"/>
    <w:rsid w:val="00F0211A"/>
    <w:rsid w:val="00F02440"/>
    <w:rsid w:val="00F027F8"/>
    <w:rsid w:val="00F02B26"/>
    <w:rsid w:val="00F03DEC"/>
    <w:rsid w:val="00F06B5E"/>
    <w:rsid w:val="00F0754E"/>
    <w:rsid w:val="00F1102B"/>
    <w:rsid w:val="00F15754"/>
    <w:rsid w:val="00F24203"/>
    <w:rsid w:val="00F26691"/>
    <w:rsid w:val="00F27AE5"/>
    <w:rsid w:val="00F30359"/>
    <w:rsid w:val="00F31D0D"/>
    <w:rsid w:val="00F33E92"/>
    <w:rsid w:val="00F3701E"/>
    <w:rsid w:val="00F41F47"/>
    <w:rsid w:val="00F46621"/>
    <w:rsid w:val="00F5050F"/>
    <w:rsid w:val="00F53E70"/>
    <w:rsid w:val="00F53FE6"/>
    <w:rsid w:val="00F563F5"/>
    <w:rsid w:val="00F566A2"/>
    <w:rsid w:val="00F63572"/>
    <w:rsid w:val="00F6688A"/>
    <w:rsid w:val="00F7019D"/>
    <w:rsid w:val="00F706C7"/>
    <w:rsid w:val="00F7642E"/>
    <w:rsid w:val="00F8095B"/>
    <w:rsid w:val="00F821C2"/>
    <w:rsid w:val="00F853D4"/>
    <w:rsid w:val="00F873A6"/>
    <w:rsid w:val="00F87882"/>
    <w:rsid w:val="00F93D4E"/>
    <w:rsid w:val="00F94B75"/>
    <w:rsid w:val="00FA1C02"/>
    <w:rsid w:val="00FA4BF9"/>
    <w:rsid w:val="00FA7EF4"/>
    <w:rsid w:val="00FB4028"/>
    <w:rsid w:val="00FC2258"/>
    <w:rsid w:val="00FC4D1C"/>
    <w:rsid w:val="00FD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27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22B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unhideWhenUsed/>
    <w:rsid w:val="007B5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7B58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7B58B3"/>
    <w:rPr>
      <w:vertAlign w:val="superscript"/>
    </w:rPr>
  </w:style>
  <w:style w:type="table" w:styleId="a8">
    <w:name w:val="Table Grid"/>
    <w:basedOn w:val="a1"/>
    <w:uiPriority w:val="39"/>
    <w:rsid w:val="0069372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93729"/>
    <w:pPr>
      <w:ind w:left="720"/>
      <w:contextualSpacing/>
    </w:pPr>
  </w:style>
  <w:style w:type="paragraph" w:customStyle="1" w:styleId="Default">
    <w:name w:val="Default"/>
    <w:rsid w:val="00045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410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4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1073"/>
  </w:style>
  <w:style w:type="paragraph" w:styleId="ac">
    <w:name w:val="footer"/>
    <w:basedOn w:val="a"/>
    <w:link w:val="ad"/>
    <w:uiPriority w:val="99"/>
    <w:unhideWhenUsed/>
    <w:rsid w:val="0074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1073"/>
  </w:style>
  <w:style w:type="paragraph" w:styleId="ae">
    <w:name w:val="No Spacing"/>
    <w:uiPriority w:val="1"/>
    <w:qFormat/>
    <w:rsid w:val="00F5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D8001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8001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8001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8001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8001D"/>
    <w:rPr>
      <w:b/>
      <w:bCs/>
      <w:sz w:val="20"/>
      <w:szCs w:val="20"/>
    </w:rPr>
  </w:style>
  <w:style w:type="paragraph" w:styleId="af4">
    <w:name w:val="Body Text"/>
    <w:basedOn w:val="a"/>
    <w:link w:val="af5"/>
    <w:rsid w:val="00EB29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EB29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01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22B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unhideWhenUsed/>
    <w:rsid w:val="007B5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7B58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7B58B3"/>
    <w:rPr>
      <w:vertAlign w:val="superscript"/>
    </w:rPr>
  </w:style>
  <w:style w:type="table" w:styleId="a8">
    <w:name w:val="Table Grid"/>
    <w:basedOn w:val="a1"/>
    <w:uiPriority w:val="39"/>
    <w:rsid w:val="0069372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93729"/>
    <w:pPr>
      <w:ind w:left="720"/>
      <w:contextualSpacing/>
    </w:pPr>
  </w:style>
  <w:style w:type="paragraph" w:customStyle="1" w:styleId="Default">
    <w:name w:val="Default"/>
    <w:rsid w:val="00045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410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4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1073"/>
  </w:style>
  <w:style w:type="paragraph" w:styleId="ac">
    <w:name w:val="footer"/>
    <w:basedOn w:val="a"/>
    <w:link w:val="ad"/>
    <w:uiPriority w:val="99"/>
    <w:unhideWhenUsed/>
    <w:rsid w:val="0074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1073"/>
  </w:style>
  <w:style w:type="paragraph" w:styleId="ae">
    <w:name w:val="No Spacing"/>
    <w:uiPriority w:val="1"/>
    <w:qFormat/>
    <w:rsid w:val="00F5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D8001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8001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8001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8001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8001D"/>
    <w:rPr>
      <w:b/>
      <w:bCs/>
      <w:sz w:val="20"/>
      <w:szCs w:val="20"/>
    </w:rPr>
  </w:style>
  <w:style w:type="paragraph" w:styleId="af4">
    <w:name w:val="Body Text"/>
    <w:basedOn w:val="a"/>
    <w:link w:val="af5"/>
    <w:rsid w:val="00EB29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EB29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01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header" Target="header2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8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9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400" b="1" i="0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Основные демографические коэффициенты </a:t>
            </a:r>
          </a:p>
          <a:p>
            <a:pPr>
              <a:defRPr sz="14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400" b="1" i="0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в расчете на 1000 чел. населения </a:t>
            </a:r>
          </a:p>
          <a:p>
            <a:pPr>
              <a:defRPr sz="14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400" b="1" i="0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 (промилле)  </a:t>
            </a:r>
          </a:p>
        </c:rich>
      </c:tx>
      <c:layout>
        <c:manualLayout>
          <c:xMode val="edge"/>
          <c:yMode val="edge"/>
          <c:x val="0.21251825003356062"/>
          <c:y val="1.5051274328413865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05890916263377"/>
          <c:y val="0.25076963682075193"/>
          <c:w val="0.84023607845124759"/>
          <c:h val="0.467980474403316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-1.946538218968593E-2"/>
                  <c:y val="2.489609648765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4766942887310692E-2"/>
                  <c:y val="3.8642155049742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4822873009884181E-2"/>
                  <c:y val="2.65318324003435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3774377885538542E-3"/>
                  <c:y val="2.40227898171423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5755107640765456E-3"/>
                  <c:y val="-2.12351823874922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1763086905803442E-2"/>
                  <c:y val="9.96190327694186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0" sourceLinked="0"/>
            <c:spPr>
              <a:solidFill>
                <a:srgbClr val="1F497D">
                  <a:lumMod val="20000"/>
                  <a:lumOff val="80000"/>
                </a:srgbClr>
              </a:solidFill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 2018 г. отчет</c:v>
                </c:pt>
                <c:pt idx="1">
                  <c:v> 2019 г. оценка
</c:v>
                </c:pt>
                <c:pt idx="2">
                  <c:v> 2020 г. </c:v>
                </c:pt>
                <c:pt idx="3">
                  <c:v> 2021 г. прогноз</c:v>
                </c:pt>
                <c:pt idx="4">
                  <c:v> 2022 г.</c:v>
                </c:pt>
              </c:strCache>
            </c:strRef>
          </c:cat>
          <c:val>
            <c:numRef>
              <c:f>Лист1!$B$2:$B$6</c:f>
              <c:numCache>
                <c:formatCode>#,##0.00</c:formatCode>
                <c:ptCount val="5"/>
                <c:pt idx="0">
                  <c:v>9.4700000000000006</c:v>
                </c:pt>
                <c:pt idx="1">
                  <c:v>9.15</c:v>
                </c:pt>
                <c:pt idx="2">
                  <c:v>9.2100000000000009</c:v>
                </c:pt>
                <c:pt idx="3">
                  <c:v>9.27</c:v>
                </c:pt>
                <c:pt idx="4">
                  <c:v>9.33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solidFill>
              <a:srgbClr val="9BBB59">
                <a:lumMod val="60000"/>
                <a:lumOff val="40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3.7747270625468725E-2"/>
                  <c:y val="4.99269697786526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7413543927240167E-2"/>
                  <c:y val="2.3633739335393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7058495801069298E-2"/>
                  <c:y val="4.50150605241877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6566616638562555E-2"/>
                  <c:y val="4.55165556064015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3531712224996071E-2"/>
                  <c:y val="4.3697852347310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5.7566345873432491E-2"/>
                  <c:y val="6.52349644413260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0" sourceLinked="0"/>
            <c:spPr>
              <a:solidFill>
                <a:srgbClr val="9BBB59">
                  <a:lumMod val="20000"/>
                  <a:lumOff val="80000"/>
                </a:srgbClr>
              </a:solidFill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 2018 г. отчет</c:v>
                </c:pt>
                <c:pt idx="1">
                  <c:v> 2019 г. оценка
</c:v>
                </c:pt>
                <c:pt idx="2">
                  <c:v> 2020 г. </c:v>
                </c:pt>
                <c:pt idx="3">
                  <c:v> 2021 г. прогноз</c:v>
                </c:pt>
                <c:pt idx="4">
                  <c:v> 2022 г.</c:v>
                </c:pt>
              </c:strCache>
            </c:strRef>
          </c:cat>
          <c:val>
            <c:numRef>
              <c:f>Лист1!$C$2:$C$6</c:f>
              <c:numCache>
                <c:formatCode>#,##0.00</c:formatCode>
                <c:ptCount val="5"/>
                <c:pt idx="0">
                  <c:v>14.09</c:v>
                </c:pt>
                <c:pt idx="1">
                  <c:v>14.12</c:v>
                </c:pt>
                <c:pt idx="2">
                  <c:v>14.11</c:v>
                </c:pt>
                <c:pt idx="3">
                  <c:v>14.11</c:v>
                </c:pt>
                <c:pt idx="4">
                  <c:v>14.11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естественный прирост (убыль)</c:v>
                </c:pt>
              </c:strCache>
            </c:strRef>
          </c:tx>
          <c:spPr>
            <a:solidFill>
              <a:srgbClr val="8064A2">
                <a:lumMod val="60000"/>
                <a:lumOff val="40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2.8672067477066333E-2"/>
                  <c:y val="4.83210101364693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309363722239269E-2"/>
                  <c:y val="2.27627834230800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1547851820535856E-2"/>
                  <c:y val="1.86792210414257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268723535550082E-2"/>
                  <c:y val="3.81383092093303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4867023816035014E-2"/>
                  <c:y val="3.9279602314399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5.8254111839932211E-2"/>
                  <c:y val="6.1464796578427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0" sourceLinked="0"/>
            <c:spPr>
              <a:solidFill>
                <a:srgbClr val="8064A2">
                  <a:lumMod val="20000"/>
                  <a:lumOff val="80000"/>
                </a:srgbClr>
              </a:solidFill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 2018 г. отчет</c:v>
                </c:pt>
                <c:pt idx="1">
                  <c:v> 2019 г. оценка
</c:v>
                </c:pt>
                <c:pt idx="2">
                  <c:v> 2020 г. </c:v>
                </c:pt>
                <c:pt idx="3">
                  <c:v> 2021 г. прогноз</c:v>
                </c:pt>
                <c:pt idx="4">
                  <c:v> 2022 г.</c:v>
                </c:pt>
              </c:strCache>
            </c:strRef>
          </c:cat>
          <c:val>
            <c:numRef>
              <c:f>Лист1!$D$2:$D$6</c:f>
              <c:numCache>
                <c:formatCode>#,##0.00</c:formatCode>
                <c:ptCount val="5"/>
                <c:pt idx="0">
                  <c:v>-4.62</c:v>
                </c:pt>
                <c:pt idx="1">
                  <c:v>-4.97</c:v>
                </c:pt>
                <c:pt idx="2">
                  <c:v>-4.91</c:v>
                </c:pt>
                <c:pt idx="3">
                  <c:v>-4.84</c:v>
                </c:pt>
                <c:pt idx="4">
                  <c:v>-4.78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естественный прирост </c:v>
                </c:pt>
              </c:strCache>
            </c:strRef>
          </c:tx>
          <c:spPr>
            <a:gradFill flip="none" rotWithShape="1">
              <a:gsLst>
                <a:gs pos="0">
                  <a:schemeClr val="accent6">
                    <a:lumMod val="40000"/>
                    <a:lumOff val="60000"/>
                    <a:shade val="30000"/>
                    <a:satMod val="115000"/>
                  </a:schemeClr>
                </a:gs>
                <a:gs pos="50000">
                  <a:schemeClr val="accent6">
                    <a:lumMod val="40000"/>
                    <a:lumOff val="60000"/>
                    <a:shade val="67500"/>
                    <a:satMod val="115000"/>
                  </a:schemeClr>
                </a:gs>
                <a:gs pos="100000">
                  <a:schemeClr val="accent6">
                    <a:lumMod val="40000"/>
                    <a:lumOff val="60000"/>
                    <a:shade val="100000"/>
                    <a:satMod val="115000"/>
                  </a:schemeClr>
                </a:gs>
              </a:gsLst>
              <a:path path="circle">
                <a:fillToRect l="50000" t="50000" r="50000" b="50000"/>
              </a:path>
              <a:tileRect/>
            </a:gra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2.132573393365941E-2"/>
                  <c:y val="-3.57806729270844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3482643505137207E-2"/>
                  <c:y val="-2.38415733228318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77920980209003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519473201393302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277920980208995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59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 2018 г. отчет</c:v>
                </c:pt>
                <c:pt idx="1">
                  <c:v> 2019 г. оценка
</c:v>
                </c:pt>
                <c:pt idx="2">
                  <c:v> 2020 г. </c:v>
                </c:pt>
                <c:pt idx="3">
                  <c:v> 2021 г. прогноз</c:v>
                </c:pt>
                <c:pt idx="4">
                  <c:v> 2022 г.</c:v>
                </c:pt>
              </c:strCache>
            </c:strRef>
          </c:cat>
          <c:val>
            <c:numRef>
              <c:f>Лист1!$E$2:$E$6</c:f>
            </c:numRef>
          </c:val>
          <c:shape val="box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миграционный прирост (убыль)</c:v>
                </c:pt>
              </c:strCache>
            </c:strRef>
          </c:tx>
          <c:spPr>
            <a:solidFill>
              <a:srgbClr val="F79646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8.2687338501291983E-3"/>
                  <c:y val="8.30737279335410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6.2015503875968991E-3"/>
                  <c:y val="1.24610591900311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4.1343669250645991E-3"/>
                  <c:y val="8.30737279335410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0671834625322241E-3"/>
                  <c:y val="1.66147455867082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2403100775193798E-2"/>
                  <c:y val="8.30737279335410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rgbClr val="F79646">
                  <a:lumMod val="20000"/>
                  <a:lumOff val="80000"/>
                </a:srgbClr>
              </a:solidFill>
            </c:spPr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 2018 г. отчет</c:v>
                </c:pt>
                <c:pt idx="1">
                  <c:v> 2019 г. оценка
</c:v>
                </c:pt>
                <c:pt idx="2">
                  <c:v> 2020 г. </c:v>
                </c:pt>
                <c:pt idx="3">
                  <c:v> 2021 г. прогноз</c:v>
                </c:pt>
                <c:pt idx="4">
                  <c:v> 2022 г.</c:v>
                </c:pt>
              </c:strCache>
            </c:strRef>
          </c:cat>
          <c:val>
            <c:numRef>
              <c:f>Лист1!$F$2:$F$6</c:f>
              <c:numCache>
                <c:formatCode>#,##0.00</c:formatCode>
                <c:ptCount val="5"/>
                <c:pt idx="0">
                  <c:v>2</c:v>
                </c:pt>
                <c:pt idx="1">
                  <c:v>2.35</c:v>
                </c:pt>
                <c:pt idx="2">
                  <c:v>2.48</c:v>
                </c:pt>
                <c:pt idx="3">
                  <c:v>2.73</c:v>
                </c:pt>
                <c:pt idx="4">
                  <c:v>2.99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pyramid"/>
        <c:axId val="169609472"/>
        <c:axId val="169619456"/>
        <c:axId val="0"/>
      </c:bar3DChart>
      <c:dateAx>
        <c:axId val="1696094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low"/>
        <c:txPr>
          <a:bodyPr rot="0" vert="horz"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9619456"/>
        <c:crosses val="autoZero"/>
        <c:auto val="0"/>
        <c:lblOffset val="100"/>
        <c:baseTimeUnit val="days"/>
      </c:dateAx>
      <c:valAx>
        <c:axId val="169619456"/>
        <c:scaling>
          <c:orientation val="minMax"/>
        </c:scaling>
        <c:delete val="0"/>
        <c:axPos val="l"/>
        <c:majorGridlines/>
        <c:numFmt formatCode="#,##0.00" sourceLinked="1"/>
        <c:majorTickMark val="none"/>
        <c:minorTickMark val="none"/>
        <c:tickLblPos val="nextTo"/>
        <c:spPr>
          <a:ln w="4676">
            <a:noFill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9609472"/>
        <c:crosses val="autoZero"/>
        <c:crossBetween val="between"/>
      </c:valAx>
      <c:spPr>
        <a:noFill/>
        <a:ln w="25409">
          <a:noFill/>
        </a:ln>
      </c:spPr>
    </c:plotArea>
    <c:legend>
      <c:legendPos val="b"/>
      <c:layout>
        <c:manualLayout>
          <c:xMode val="edge"/>
          <c:yMode val="edge"/>
          <c:x val="6.0468010822156942E-2"/>
          <c:y val="0.87534067587345976"/>
          <c:w val="0.84986469714541502"/>
          <c:h val="0.12465932412654025"/>
        </c:manualLayout>
      </c:layout>
      <c:overlay val="0"/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85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9789645005647718E-2"/>
          <c:y val="3.5731952655893587E-2"/>
          <c:w val="1.2381316694514354E-2"/>
          <c:h val="7.4711403194392496E-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год, млн.руб.</c:v>
                </c:pt>
              </c:strCache>
            </c:strRef>
          </c:tx>
          <c:explosion val="25"/>
          <c:dPt>
            <c:idx val="1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</c:spPr>
          </c:dPt>
          <c:dPt>
            <c:idx val="3"/>
            <c:bubble3D val="0"/>
            <c:spPr>
              <a:solidFill>
                <a:srgbClr val="00B050"/>
              </a:solidFill>
            </c:spPr>
          </c:dPt>
          <c:dPt>
            <c:idx val="4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Pt>
            <c:idx val="5"/>
            <c:bubble3D val="0"/>
            <c:spPr>
              <a:solidFill>
                <a:srgbClr val="FF0000"/>
              </a:solidFill>
            </c:spPr>
          </c:dPt>
          <c:cat>
            <c:strRef>
              <c:f>Лист1!$A$2:$A$7</c:f>
              <c:strCache>
                <c:ptCount val="6"/>
                <c:pt idx="1">
                  <c:v>возмещение затрат по созданию мест в негосударственных дошкольных организациях и семейных детских садах</c:v>
                </c:pt>
                <c:pt idx="2">
                  <c:v>возмещение затрат по организации выставочных мероприятий в г. Иваново </c:v>
                </c:pt>
                <c:pt idx="3">
                  <c:v>возмещение затрат по участию в  региональных, межрегиональных  и   международных выставочно-ярмарочных мероприятиях</c:v>
                </c:pt>
                <c:pt idx="4">
                  <c:v>возмещение затрат по оплате процентов по кредитам, полученным в кредитных организациях</c:v>
                </c:pt>
                <c:pt idx="5">
                  <c:v>возмещение затрат по приобретению оборудования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1">
                  <c:v>0.12</c:v>
                </c:pt>
                <c:pt idx="2">
                  <c:v>0.09</c:v>
                </c:pt>
                <c:pt idx="3">
                  <c:v>1.25</c:v>
                </c:pt>
                <c:pt idx="4">
                  <c:v>0.19</c:v>
                </c:pt>
                <c:pt idx="5">
                  <c:v>1.02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2.5404258913404597E-2"/>
          <c:y val="0"/>
          <c:w val="0.97157534722579486"/>
          <c:h val="1"/>
        </c:manualLayout>
      </c:layout>
      <c:overlay val="0"/>
      <c:txPr>
        <a:bodyPr/>
        <a:lstStyle/>
        <a:p>
          <a:pPr algn="just"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1873801824928625E-2"/>
          <c:y val="4.07346189164371E-2"/>
          <c:w val="0.91513769242794496"/>
          <c:h val="0.536616835054572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Коэффициент напряженности на рынке труда, чел. на одну вакансию</c:v>
                </c:pt>
              </c:strCache>
            </c:strRef>
          </c:tx>
          <c:dLbls>
            <c:dLbl>
              <c:idx val="0"/>
              <c:layout>
                <c:manualLayout>
                  <c:x val="-8.6162560024057047E-2"/>
                  <c:y val="4.77720111703266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7.4934119857091447E-2"/>
                  <c:y val="6.7683930812996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0772742036008043E-2"/>
                  <c:y val="7.54232894801193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2088325915782265E-2"/>
                  <c:y val="7.32364976117115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4722214907083104E-2"/>
                  <c:y val="7.6863109502616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7284474056127599E-2"/>
                  <c:y val="7.40825875026491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7189220666789497E-2"/>
                  <c:y val="-4.55871681095623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tx2">
                  <a:lumMod val="20000"/>
                  <a:lumOff val="80000"/>
                </a:schemeClr>
              </a:solidFill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2018 г. 
отчет</c:v>
                </c:pt>
                <c:pt idx="1">
                  <c:v>2019 г.
оценка</c:v>
                </c:pt>
                <c:pt idx="2">
                  <c:v>2020 г. </c:v>
                </c:pt>
                <c:pt idx="3">
                  <c:v>2021 г. прогноз</c:v>
                </c:pt>
                <c:pt idx="4">
                  <c:v>2022 г.</c:v>
                </c:pt>
              </c:strCache>
            </c:strRef>
          </c:cat>
          <c:val>
            <c:numRef>
              <c:f>Лист1!$B$2:$B$6</c:f>
              <c:numCache>
                <c:formatCode>0.00</c:formatCode>
                <c:ptCount val="5"/>
                <c:pt idx="0">
                  <c:v>0.35</c:v>
                </c:pt>
                <c:pt idx="1">
                  <c:v>0.32</c:v>
                </c:pt>
                <c:pt idx="2">
                  <c:v>0.32</c:v>
                </c:pt>
                <c:pt idx="3">
                  <c:v>0.32</c:v>
                </c:pt>
                <c:pt idx="4">
                  <c:v>0.32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Уровень безработицы, %</c:v>
                </c:pt>
              </c:strCache>
            </c:strRef>
          </c:tx>
          <c:marker>
            <c:spPr>
              <a:solidFill>
                <a:srgbClr val="C0504D">
                  <a:lumMod val="75000"/>
                </a:srgbClr>
              </a:solidFill>
            </c:spPr>
          </c:marker>
          <c:dLbls>
            <c:dLbl>
              <c:idx val="0"/>
              <c:layout>
                <c:manualLayout>
                  <c:x val="-2.602397905968841E-2"/>
                  <c:y val="-5.51814265788219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418929239196271E-2"/>
                  <c:y val="-7.2462463931139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0536082655219936E-2"/>
                  <c:y val="-6.56298397482923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3814113536811243E-2"/>
                  <c:y val="-6.16817463034511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1411178117785441E-2"/>
                  <c:y val="-5.75269395673367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2171104030056442E-2"/>
                  <c:y val="-5.80417665183156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1486525833486869E-2"/>
                  <c:y val="6.45818214885466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accent2">
                  <a:lumMod val="60000"/>
                  <a:lumOff val="40000"/>
                </a:schemeClr>
              </a:solidFill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2018 г. 
отчет</c:v>
                </c:pt>
                <c:pt idx="1">
                  <c:v>2019 г.
оценка</c:v>
                </c:pt>
                <c:pt idx="2">
                  <c:v>2020 г. </c:v>
                </c:pt>
                <c:pt idx="3">
                  <c:v>2021 г. прогноз</c:v>
                </c:pt>
                <c:pt idx="4">
                  <c:v>2022 г.</c:v>
                </c:pt>
              </c:strCache>
            </c:strRef>
          </c:cat>
          <c:val>
            <c:numRef>
              <c:f>Лист1!$C$2:$C$6</c:f>
              <c:numCache>
                <c:formatCode>0.00</c:formatCode>
                <c:ptCount val="5"/>
                <c:pt idx="0">
                  <c:v>0.35</c:v>
                </c:pt>
                <c:pt idx="1">
                  <c:v>0.33</c:v>
                </c:pt>
                <c:pt idx="2">
                  <c:v>0.33</c:v>
                </c:pt>
                <c:pt idx="3">
                  <c:v>0.32</c:v>
                </c:pt>
                <c:pt idx="4">
                  <c:v>0.32</c:v>
                </c:pt>
              </c:numCache>
            </c:numRef>
          </c:val>
          <c:smooth val="1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2018 г. 
отчет</c:v>
                </c:pt>
                <c:pt idx="1">
                  <c:v>2019 г.
оценка</c:v>
                </c:pt>
                <c:pt idx="2">
                  <c:v>2020 г. </c:v>
                </c:pt>
                <c:pt idx="3">
                  <c:v>2021 г. прогноз</c:v>
                </c:pt>
                <c:pt idx="4">
                  <c:v>2022 г.</c:v>
                </c:pt>
              </c:strCache>
            </c:strRef>
          </c:cat>
          <c:val>
            <c:numRef>
              <c:f>Лист1!$D$2:$D$6</c:f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1287680"/>
        <c:axId val="191289216"/>
      </c:lineChart>
      <c:catAx>
        <c:axId val="191287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1289216"/>
        <c:crosses val="autoZero"/>
        <c:auto val="1"/>
        <c:lblAlgn val="ctr"/>
        <c:lblOffset val="100"/>
        <c:noMultiLvlLbl val="1"/>
      </c:catAx>
      <c:valAx>
        <c:axId val="191289216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128768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3.4548809144488782E-2"/>
          <c:y val="0.75027632415513279"/>
          <c:w val="0.94811220121548978"/>
          <c:h val="0.20473337527023999"/>
        </c:manualLayout>
      </c:layout>
      <c:overlay val="0"/>
      <c:txPr>
        <a:bodyPr/>
        <a:lstStyle/>
        <a:p>
          <a:pPr>
            <a:defRPr sz="135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/>
              <a:t>Среднесписочная численность и среднемесячная </a:t>
            </a:r>
          </a:p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/>
              <a:t>заработная плата работников </a:t>
            </a:r>
          </a:p>
        </c:rich>
      </c:tx>
      <c:layout>
        <c:manualLayout>
          <c:xMode val="edge"/>
          <c:yMode val="edge"/>
          <c:x val="0.13352534421569395"/>
          <c:y val="1.26085326290735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427642276422764"/>
          <c:y val="0.18466680854082429"/>
          <c:w val="0.7909593495934959"/>
          <c:h val="0.52328240051074693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среднесписочная численность работников (тыс.чел.)</c:v>
                </c:pt>
              </c:strCache>
            </c:strRef>
          </c:tx>
          <c:spPr>
            <a:gradFill>
              <a:gsLst>
                <a:gs pos="0">
                  <a:srgbClr val="EEECE1">
                    <a:lumMod val="75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layout>
                <c:manualLayout>
                  <c:x val="-2.6108945684115066E-3"/>
                  <c:y val="9.97658988278639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2149105208249739E-3"/>
                  <c:y val="9.97884410895577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8.97676864662108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1972903284334078E-3"/>
                  <c:y val="0.122707105468089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0.121546501510155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2.3084905084538852E-3"/>
                  <c:y val="0.12943284263380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gradFill>
                <a:gsLst>
                  <a:gs pos="0">
                    <a:srgbClr val="EEECE1">
                      <a:lumMod val="75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2018 г. отчет </c:v>
                </c:pt>
                <c:pt idx="1">
                  <c:v>2019 г.  оценка</c:v>
                </c:pt>
                <c:pt idx="2">
                  <c:v>2020 г. </c:v>
                </c:pt>
                <c:pt idx="3">
                  <c:v>2021 г. прогноз</c:v>
                </c:pt>
                <c:pt idx="4">
                  <c:v>2022 г.</c:v>
                </c:pt>
              </c:strCache>
            </c:strRef>
          </c:cat>
          <c:val>
            <c:numRef>
              <c:f>Лист1!$C$2:$C$6</c:f>
              <c:numCache>
                <c:formatCode>0.00</c:formatCode>
                <c:ptCount val="5"/>
                <c:pt idx="0">
                  <c:v>137.72999999999999</c:v>
                </c:pt>
                <c:pt idx="1">
                  <c:v>139.36000000000001</c:v>
                </c:pt>
                <c:pt idx="2">
                  <c:v>141.06</c:v>
                </c:pt>
                <c:pt idx="3">
                  <c:v>142.71</c:v>
                </c:pt>
                <c:pt idx="4">
                  <c:v>144.44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71139456"/>
        <c:axId val="171140992"/>
      </c:barChar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среднемесячная заработная плата (руб.)</c:v>
                </c:pt>
              </c:strCache>
            </c:strRef>
          </c:tx>
          <c:spPr>
            <a:ln w="21366">
              <a:solidFill>
                <a:srgbClr val="9BBB59">
                  <a:lumMod val="50000"/>
                </a:srgbClr>
              </a:solidFill>
            </a:ln>
          </c:spPr>
          <c:marker>
            <c:symbol val="plus"/>
            <c:size val="4"/>
            <c:spPr>
              <a:solidFill>
                <a:srgbClr val="9BBB59">
                  <a:lumMod val="50000"/>
                </a:srgbClr>
              </a:solidFill>
              <a:ln w="21366" cap="rnd">
                <a:solidFill>
                  <a:srgbClr val="9BBB59">
                    <a:lumMod val="50000"/>
                  </a:srgbClr>
                </a:solidFill>
              </a:ln>
            </c:spPr>
          </c:marker>
          <c:dLbls>
            <c:dLbl>
              <c:idx val="0"/>
              <c:layout>
                <c:manualLayout>
                  <c:x val="-8.6768723488528765E-2"/>
                  <c:y val="-4.48150335794001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6.4212010521647572E-2"/>
                  <c:y val="-4.60015664315284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6.4283610536543093E-2"/>
                  <c:y val="-4.53605958337778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7810664509074412E-2"/>
                  <c:y val="-5.0281064306090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6.6303306464990469E-2"/>
                  <c:y val="-6.58378283673290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5.9790200643524208E-2"/>
                  <c:y val="-6.51864169152768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9BBB59">
                  <a:lumMod val="60000"/>
                  <a:lumOff val="40000"/>
                </a:srgb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Лист1!$B$2:$B$6</c:f>
              <c:numCache>
                <c:formatCode>0.00</c:formatCode>
                <c:ptCount val="5"/>
                <c:pt idx="0">
                  <c:v>28333.8</c:v>
                </c:pt>
                <c:pt idx="1">
                  <c:v>30062.2</c:v>
                </c:pt>
                <c:pt idx="2">
                  <c:v>31685.5</c:v>
                </c:pt>
                <c:pt idx="3">
                  <c:v>33586.6</c:v>
                </c:pt>
                <c:pt idx="4">
                  <c:v>35769.800000000003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1142528"/>
        <c:axId val="171160704"/>
      </c:lineChart>
      <c:catAx>
        <c:axId val="171139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140992"/>
        <c:crosses val="autoZero"/>
        <c:auto val="1"/>
        <c:lblAlgn val="ctr"/>
        <c:lblOffset val="100"/>
        <c:noMultiLvlLbl val="0"/>
      </c:catAx>
      <c:valAx>
        <c:axId val="171140992"/>
        <c:scaling>
          <c:orientation val="minMax"/>
        </c:scaling>
        <c:delete val="0"/>
        <c:axPos val="l"/>
        <c:majorGridlines/>
        <c:numFmt formatCode="0.00" sourceLinked="1"/>
        <c:majorTickMark val="none"/>
        <c:minorTickMark val="none"/>
        <c:tickLblPos val="nextTo"/>
        <c:spPr>
          <a:ln w="5341">
            <a:noFill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139456"/>
        <c:crosses val="autoZero"/>
        <c:crossBetween val="between"/>
      </c:valAx>
      <c:catAx>
        <c:axId val="171142528"/>
        <c:scaling>
          <c:orientation val="minMax"/>
        </c:scaling>
        <c:delete val="1"/>
        <c:axPos val="b"/>
        <c:majorTickMark val="out"/>
        <c:minorTickMark val="none"/>
        <c:tickLblPos val="nextTo"/>
        <c:crossAx val="171160704"/>
        <c:crosses val="autoZero"/>
        <c:auto val="1"/>
        <c:lblAlgn val="ctr"/>
        <c:lblOffset val="100"/>
        <c:noMultiLvlLbl val="0"/>
      </c:catAx>
      <c:valAx>
        <c:axId val="171160704"/>
        <c:scaling>
          <c:orientation val="minMax"/>
        </c:scaling>
        <c:delete val="0"/>
        <c:axPos val="r"/>
        <c:numFmt formatCode="0.0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142528"/>
        <c:crosses val="max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3.9165864455030897E-2"/>
          <c:y val="0.86542312645701891"/>
          <c:w val="0.94416969038744769"/>
          <c:h val="0.13374393995669603"/>
        </c:manualLayout>
      </c:layout>
      <c:overlay val="0"/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3933912226832848"/>
          <c:y val="6.3715383341704998E-2"/>
          <c:w val="0.73666934537765472"/>
          <c:h val="0.562012849788911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детей в дошкольных образовательных учреждениях (тыс. чел.)</c:v>
                </c:pt>
              </c:strCache>
            </c:strRef>
          </c:tx>
          <c:spPr>
            <a:solidFill>
              <a:srgbClr val="EEECE1">
                <a:lumMod val="75000"/>
              </a:srgbClr>
            </a:solidFill>
            <a:ln>
              <a:noFill/>
            </a:ln>
            <a:effectLst>
              <a:innerShdw blurRad="63500" dist="50800">
                <a:sysClr val="window" lastClr="FFFFFF">
                  <a:alpha val="50000"/>
                </a:sysClr>
              </a:innerShdw>
              <a:softEdge rad="50800"/>
            </a:effectLst>
            <a:scene3d>
              <a:camera prst="orthographicFront"/>
              <a:lightRig rig="threePt" dir="t"/>
            </a:scene3d>
            <a:sp3d prstMaterial="metal">
              <a:bevelT/>
              <a:bevelB/>
            </a:sp3d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Lbls>
            <c:dLbl>
              <c:idx val="0"/>
              <c:layout>
                <c:manualLayout>
                  <c:x val="-4.8963260132835987E-4"/>
                  <c:y val="0.15585992170262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4343150877766577E-3"/>
                  <c:y val="0.162075231312266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7822673873110024E-3"/>
                  <c:y val="0.17332446756497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5903604609977382E-3"/>
                  <c:y val="0.160562250673572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3037050560645663E-3"/>
                  <c:y val="0.150218209225112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"/>
                  <c:y val="0.121054795794795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0" sourceLinked="0"/>
            <c:spPr>
              <a:noFill/>
              <a:ln>
                <a:noFill/>
              </a:ln>
              <a:scene3d>
                <a:camera prst="orthographicFront"/>
                <a:lightRig rig="threePt" dir="t"/>
              </a:scene3d>
              <a:sp3d/>
            </c:spPr>
            <c:txPr>
              <a:bodyPr rot="0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23.03</c:v>
                </c:pt>
                <c:pt idx="1">
                  <c:v>23.3</c:v>
                </c:pt>
                <c:pt idx="2">
                  <c:v>23.44</c:v>
                </c:pt>
                <c:pt idx="3">
                  <c:v>23.68</c:v>
                </c:pt>
                <c:pt idx="4">
                  <c:v>23.68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"/>
        <c:overlap val="-54"/>
        <c:axId val="190633472"/>
        <c:axId val="190631936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Обеспеченность детскими дошкольными учреждениями                                                           (мест на 1 000 детей дошкольного возраста)</c:v>
                </c:pt>
              </c:strCache>
            </c:strRef>
          </c:tx>
          <c:spPr>
            <a:ln w="38287">
              <a:solidFill>
                <a:srgbClr val="FFC000"/>
              </a:solidFill>
              <a:round/>
            </a:ln>
            <a:effectLst>
              <a:glow>
                <a:srgbClr val="4F81BD">
                  <a:alpha val="59000"/>
                </a:srgbClr>
              </a:glow>
              <a:softEdge rad="0"/>
            </a:effectLst>
          </c:spPr>
          <c:marker>
            <c:symbol val="plus"/>
            <c:size val="5"/>
            <c:spPr>
              <a:solidFill>
                <a:srgbClr val="EEECE1">
                  <a:lumMod val="50000"/>
                </a:srgbClr>
              </a:solidFill>
              <a:ln w="12762">
                <a:solidFill>
                  <a:srgbClr val="FFC000"/>
                </a:solidFill>
              </a:ln>
              <a:effectLst>
                <a:glow>
                  <a:srgbClr val="4F81BD">
                    <a:alpha val="59000"/>
                  </a:srgbClr>
                </a:glow>
                <a:softEdge rad="0"/>
              </a:effectLst>
              <a:scene3d>
                <a:camera prst="orthographicFront"/>
                <a:lightRig rig="threePt" dir="t"/>
              </a:scene3d>
              <a:sp3d>
                <a:bevelT w="152400" h="50800" prst="softRound"/>
              </a:sp3d>
            </c:spPr>
          </c:marker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0"/>
              <c:layout>
                <c:manualLayout>
                  <c:x val="-5.4583730666884635E-2"/>
                  <c:y val="-5.6905393457117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6.4215299614803711E-2"/>
                  <c:y val="-7.68004071843174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2875783947527642E-2"/>
                  <c:y val="-7.3787964719457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6.2049605391021626E-2"/>
                  <c:y val="-6.65962112826082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4537872318800992E-2"/>
                  <c:y val="-5.66595157645798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6502974568783863E-2"/>
                  <c:y val="-6.03864734299516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FFDE75"/>
              </a:solidFill>
              <a:ln>
                <a:noFill/>
              </a:ln>
              <a:scene3d>
                <a:camera prst="orthographicFront"/>
                <a:lightRig rig="threePt" dir="t"/>
              </a:scene3d>
              <a:sp3d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821.6</c:v>
                </c:pt>
                <c:pt idx="1">
                  <c:v>834.14</c:v>
                </c:pt>
                <c:pt idx="2">
                  <c:v>839.1</c:v>
                </c:pt>
                <c:pt idx="3">
                  <c:v>847.7</c:v>
                </c:pt>
                <c:pt idx="4">
                  <c:v>847.7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0616320"/>
        <c:axId val="190617856"/>
      </c:lineChart>
      <c:catAx>
        <c:axId val="190616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0617856"/>
        <c:crosses val="autoZero"/>
        <c:auto val="1"/>
        <c:lblAlgn val="ctr"/>
        <c:lblOffset val="100"/>
        <c:noMultiLvlLbl val="0"/>
      </c:catAx>
      <c:valAx>
        <c:axId val="190617856"/>
        <c:scaling>
          <c:orientation val="minMax"/>
        </c:scaling>
        <c:delete val="0"/>
        <c:axPos val="r"/>
        <c:majorGridlines/>
        <c:numFmt formatCode="0.0" sourceLinked="1"/>
        <c:majorTickMark val="none"/>
        <c:minorTickMark val="none"/>
        <c:tickLblPos val="nextTo"/>
        <c:spPr>
          <a:ln w="9570">
            <a:noFill/>
          </a:ln>
        </c:spPr>
        <c:txPr>
          <a:bodyPr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0616320"/>
        <c:crosses val="max"/>
        <c:crossBetween val="between"/>
      </c:valAx>
      <c:valAx>
        <c:axId val="1906319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0633472"/>
        <c:crosses val="autoZero"/>
        <c:crossBetween val="between"/>
      </c:valAx>
      <c:catAx>
        <c:axId val="1906334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90631936"/>
        <c:crosses val="autoZero"/>
        <c:auto val="1"/>
        <c:lblAlgn val="ctr"/>
        <c:lblOffset val="100"/>
        <c:noMultiLvlLbl val="0"/>
      </c:catAx>
      <c:spPr>
        <a:ln>
          <a:solidFill>
            <a:srgbClr val="9BBB59">
              <a:lumMod val="60000"/>
              <a:lumOff val="40000"/>
            </a:srgbClr>
          </a:solidFill>
        </a:ln>
      </c:spPr>
    </c:plotArea>
    <c:legend>
      <c:legendPos val="b"/>
      <c:legendEntry>
        <c:idx val="0"/>
        <c:txPr>
          <a:bodyPr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2.1902801576842011E-2"/>
          <c:y val="0.73570606642892022"/>
          <c:w val="0.97534110957441333"/>
          <c:h val="0.26252168940574466"/>
        </c:manualLayout>
      </c:layout>
      <c:overlay val="0"/>
      <c:spPr>
        <a:ln w="57150"/>
      </c:spPr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/>
              <a:t>Показатели </a:t>
            </a:r>
            <a:r>
              <a:rPr lang="ru-RU" sz="1400" baseline="0"/>
              <a:t>рождаемости</a:t>
            </a:r>
            <a:endParaRPr lang="ru-RU" sz="1400"/>
          </a:p>
        </c:rich>
      </c:tx>
      <c:layout>
        <c:manualLayout>
          <c:xMode val="edge"/>
          <c:yMode val="edge"/>
          <c:x val="0.34290126851690389"/>
          <c:y val="3.969646441253666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427642276422764"/>
          <c:y val="0.18466680854082429"/>
          <c:w val="0.7909593495934959"/>
          <c:h val="0.46037202380133341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число родившихся (чел.)</c:v>
                </c:pt>
              </c:strCache>
            </c:strRef>
          </c:tx>
          <c:spPr>
            <a:solidFill>
              <a:srgbClr val="1F497D">
                <a:lumMod val="40000"/>
                <a:lumOff val="60000"/>
              </a:srgbClr>
            </a:solidFill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layout>
                <c:manualLayout>
                  <c:x val="-2.271436683702421E-3"/>
                  <c:y val="0.131105857817434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0.137525701594992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0.12634140508607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0317106588091583E-4"/>
                  <c:y val="0.111373955178679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0962709849948E-3"/>
                  <c:y val="0.101027417726630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9531520824047936E-3"/>
                  <c:y val="0.102307288512012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4F81BD">
                  <a:lumMod val="20000"/>
                  <a:lumOff val="80000"/>
                </a:srgbClr>
              </a:solidFill>
              <a:ln>
                <a:solidFill>
                  <a:srgbClr val="1F497D">
                    <a:lumMod val="20000"/>
                    <a:lumOff val="80000"/>
                  </a:srgbClr>
                </a:solidFill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2018 г.  отчет</c:v>
                </c:pt>
                <c:pt idx="1">
                  <c:v>2019 г.  оценка</c:v>
                </c:pt>
                <c:pt idx="2">
                  <c:v>2020 г.</c:v>
                </c:pt>
                <c:pt idx="3">
                  <c:v>2021 г.    прогноз</c:v>
                </c:pt>
                <c:pt idx="4">
                  <c:v>2022 г. 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3840</c:v>
                </c:pt>
                <c:pt idx="1">
                  <c:v>3700</c:v>
                </c:pt>
                <c:pt idx="2">
                  <c:v>3715</c:v>
                </c:pt>
                <c:pt idx="3">
                  <c:v>3730</c:v>
                </c:pt>
                <c:pt idx="4">
                  <c:v>3750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70339328"/>
        <c:axId val="170349312"/>
      </c:barChar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коэффициент рождаемости на 1000 населения (промилле)</c:v>
                </c:pt>
              </c:strCache>
            </c:strRef>
          </c:tx>
          <c:spPr>
            <a:ln w="21366">
              <a:solidFill>
                <a:srgbClr val="C0504D">
                  <a:lumMod val="50000"/>
                </a:srgbClr>
              </a:solidFill>
            </a:ln>
          </c:spPr>
          <c:marker>
            <c:symbol val="plus"/>
            <c:size val="4"/>
            <c:spPr>
              <a:solidFill>
                <a:srgbClr val="C0504D">
                  <a:lumMod val="50000"/>
                </a:srgbClr>
              </a:solidFill>
              <a:ln w="21366" cap="rnd">
                <a:solidFill>
                  <a:srgbClr val="C0504D">
                    <a:lumMod val="50000"/>
                  </a:srgbClr>
                </a:solidFill>
              </a:ln>
            </c:spPr>
          </c:marker>
          <c:dLbls>
            <c:dLbl>
              <c:idx val="1"/>
              <c:layout>
                <c:manualLayout>
                  <c:x val="-2.7614233814348268E-2"/>
                  <c:y val="-6.73102093183338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chemeClr val="accent2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Лист1!$B$2:$B$6</c:f>
              <c:numCache>
                <c:formatCode>0.00</c:formatCode>
                <c:ptCount val="5"/>
                <c:pt idx="0">
                  <c:v>9.4700000000000006</c:v>
                </c:pt>
                <c:pt idx="1">
                  <c:v>9.15</c:v>
                </c:pt>
                <c:pt idx="2">
                  <c:v>9.2100000000000009</c:v>
                </c:pt>
                <c:pt idx="3" formatCode="General">
                  <c:v>9.27</c:v>
                </c:pt>
                <c:pt idx="4" formatCode="General">
                  <c:v>9.33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0356736"/>
        <c:axId val="170350848"/>
      </c:lineChart>
      <c:catAx>
        <c:axId val="170339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349312"/>
        <c:crosses val="autoZero"/>
        <c:auto val="1"/>
        <c:lblAlgn val="ctr"/>
        <c:lblOffset val="100"/>
        <c:noMultiLvlLbl val="0"/>
      </c:catAx>
      <c:valAx>
        <c:axId val="1703493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5341">
            <a:noFill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339328"/>
        <c:crosses val="autoZero"/>
        <c:crossBetween val="between"/>
      </c:valAx>
      <c:valAx>
        <c:axId val="170350848"/>
        <c:scaling>
          <c:orientation val="minMax"/>
        </c:scaling>
        <c:delete val="0"/>
        <c:axPos val="r"/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70356736"/>
        <c:crosses val="max"/>
        <c:crossBetween val="between"/>
      </c:valAx>
      <c:catAx>
        <c:axId val="170356736"/>
        <c:scaling>
          <c:orientation val="minMax"/>
        </c:scaling>
        <c:delete val="1"/>
        <c:axPos val="b"/>
        <c:majorTickMark val="out"/>
        <c:minorTickMark val="none"/>
        <c:tickLblPos val="nextTo"/>
        <c:crossAx val="170350848"/>
        <c:crosses val="autoZero"/>
        <c:auto val="1"/>
        <c:lblAlgn val="ctr"/>
        <c:lblOffset val="100"/>
        <c:noMultiLvlLbl val="0"/>
      </c:catAx>
    </c:plotArea>
    <c:legend>
      <c:legendPos val="b"/>
      <c:legendEntry>
        <c:idx val="0"/>
        <c:txPr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4.3436526651618519E-2"/>
          <c:y val="0.80121661802764166"/>
          <c:w val="0.91897274633123693"/>
          <c:h val="0.15368915808600847"/>
        </c:manualLayout>
      </c:layout>
      <c:overlay val="0"/>
      <c:txPr>
        <a:bodyPr/>
        <a:lstStyle/>
        <a:p>
          <a:pPr>
            <a:defRPr sz="14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/>
              <a:t>Показатели </a:t>
            </a:r>
            <a:r>
              <a:rPr lang="ru-RU" sz="1400" baseline="0"/>
              <a:t>смертности</a:t>
            </a:r>
            <a:endParaRPr lang="ru-RU" sz="1400"/>
          </a:p>
        </c:rich>
      </c:tx>
      <c:layout>
        <c:manualLayout>
          <c:xMode val="edge"/>
          <c:yMode val="edge"/>
          <c:x val="0.34290126851690389"/>
          <c:y val="3.969646441253666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427642276422764"/>
          <c:y val="0.14296096219367022"/>
          <c:w val="0.7909593495934959"/>
          <c:h val="0.50462427363049789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число умерших (чел.)</c:v>
                </c:pt>
              </c:strCache>
            </c:strRef>
          </c:tx>
          <c:spPr>
            <a:solidFill>
              <a:srgbClr val="9BBB59">
                <a:lumMod val="60000"/>
                <a:lumOff val="40000"/>
              </a:srgbClr>
            </a:solidFill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layout>
                <c:manualLayout>
                  <c:x val="-2.2715189447472914E-3"/>
                  <c:y val="0.171145949098705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0.192096663592726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0.192867782152230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0330708661417322E-4"/>
                  <c:y val="0.18547670603674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1368608923883732E-3"/>
                  <c:y val="0.178710301837270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2.0678215223097112E-3"/>
                  <c:y val="0.170622047244094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9BBB59">
                  <a:lumMod val="40000"/>
                  <a:lumOff val="60000"/>
                </a:srgb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2018 г.  отчет
</c:v>
                </c:pt>
                <c:pt idx="1">
                  <c:v>2019 г.  оценка</c:v>
                </c:pt>
                <c:pt idx="2">
                  <c:v>2020 г.  </c:v>
                </c:pt>
                <c:pt idx="3">
                  <c:v>2021 г.  прогноз</c:v>
                </c:pt>
                <c:pt idx="4">
                  <c:v>2022 г. 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5713</c:v>
                </c:pt>
                <c:pt idx="1">
                  <c:v>5710</c:v>
                </c:pt>
                <c:pt idx="2">
                  <c:v>5695</c:v>
                </c:pt>
                <c:pt idx="3">
                  <c:v>5680</c:v>
                </c:pt>
                <c:pt idx="4">
                  <c:v>5670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70000768"/>
        <c:axId val="170002304"/>
      </c:barChar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коэффициент смертности на 1000 населения (промилле)</c:v>
                </c:pt>
              </c:strCache>
            </c:strRef>
          </c:tx>
          <c:spPr>
            <a:ln w="21366">
              <a:solidFill>
                <a:srgbClr val="C0504D">
                  <a:lumMod val="50000"/>
                </a:srgbClr>
              </a:solidFill>
            </a:ln>
          </c:spPr>
          <c:marker>
            <c:symbol val="plus"/>
            <c:size val="4"/>
            <c:spPr>
              <a:solidFill>
                <a:srgbClr val="C0504D">
                  <a:lumMod val="50000"/>
                </a:srgbClr>
              </a:solidFill>
              <a:ln w="21366" cap="rnd">
                <a:solidFill>
                  <a:srgbClr val="C0504D">
                    <a:lumMod val="50000"/>
                  </a:srgbClr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chemeClr val="accent2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Лист1!$B$2:$B$6</c:f>
              <c:numCache>
                <c:formatCode>0.00</c:formatCode>
                <c:ptCount val="5"/>
                <c:pt idx="0">
                  <c:v>14.09</c:v>
                </c:pt>
                <c:pt idx="1">
                  <c:v>14.12</c:v>
                </c:pt>
                <c:pt idx="2">
                  <c:v>14.11</c:v>
                </c:pt>
                <c:pt idx="3" formatCode="General">
                  <c:v>14.11</c:v>
                </c:pt>
                <c:pt idx="4" formatCode="General">
                  <c:v>14.11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0013440"/>
        <c:axId val="170003456"/>
      </c:lineChart>
      <c:catAx>
        <c:axId val="170000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002304"/>
        <c:crosses val="autoZero"/>
        <c:auto val="1"/>
        <c:lblAlgn val="ctr"/>
        <c:lblOffset val="100"/>
        <c:noMultiLvlLbl val="0"/>
      </c:catAx>
      <c:valAx>
        <c:axId val="1700023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5341">
            <a:noFill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000768"/>
        <c:crosses val="autoZero"/>
        <c:crossBetween val="between"/>
      </c:valAx>
      <c:valAx>
        <c:axId val="170003456"/>
        <c:scaling>
          <c:orientation val="minMax"/>
        </c:scaling>
        <c:delete val="0"/>
        <c:axPos val="r"/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70013440"/>
        <c:crosses val="max"/>
        <c:crossBetween val="between"/>
      </c:valAx>
      <c:catAx>
        <c:axId val="170013440"/>
        <c:scaling>
          <c:orientation val="minMax"/>
        </c:scaling>
        <c:delete val="1"/>
        <c:axPos val="b"/>
        <c:majorTickMark val="out"/>
        <c:minorTickMark val="none"/>
        <c:tickLblPos val="nextTo"/>
        <c:crossAx val="170003456"/>
        <c:crosses val="autoZero"/>
        <c:auto val="1"/>
        <c:lblAlgn val="ctr"/>
        <c:lblOffset val="100"/>
        <c:noMultiLvlLbl val="0"/>
      </c:catAx>
    </c:plotArea>
    <c:legend>
      <c:legendPos val="b"/>
      <c:legendEntry>
        <c:idx val="0"/>
        <c:txPr>
          <a:bodyPr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11380769107897387"/>
          <c:y val="0.78100343132026762"/>
          <c:w val="0.83952406844091132"/>
          <c:h val="0.18234270856462656"/>
        </c:manualLayout>
      </c:layout>
      <c:overlay val="0"/>
      <c:txPr>
        <a:bodyPr/>
        <a:lstStyle/>
        <a:p>
          <a:pPr>
            <a:defRPr sz="14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Показатели естественного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прироста (убыли) </a:t>
            </a:r>
            <a:b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и миграционного прироста (убыли) на 1,0 тыс.чел. населения </a:t>
            </a:r>
            <a:r>
              <a:rPr lang="ru-RU" sz="1400" b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(промилле)</a:t>
            </a:r>
            <a:endParaRPr lang="ru-RU" sz="1400" b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7068662090315631"/>
          <c:y val="1.7602590095399751E-5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8393070866141731E-2"/>
          <c:y val="0.20467977599056802"/>
          <c:w val="0.91919947506561683"/>
          <c:h val="0.4695166926695385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Естественный прирост (убыль)</c:v>
                </c:pt>
              </c:strCache>
            </c:strRef>
          </c:tx>
          <c:spPr>
            <a:ln>
              <a:solidFill>
                <a:srgbClr val="4F81BD">
                  <a:lumMod val="75000"/>
                </a:srgbClr>
              </a:solidFill>
            </a:ln>
          </c:spPr>
          <c:marker>
            <c:spPr>
              <a:solidFill>
                <a:srgbClr val="4F81BD">
                  <a:lumMod val="75000"/>
                </a:srgbClr>
              </a:solidFill>
              <a:ln>
                <a:solidFill>
                  <a:srgbClr val="4F81BD">
                    <a:lumMod val="75000"/>
                  </a:srgbClr>
                </a:solidFill>
              </a:ln>
            </c:spPr>
          </c:marker>
          <c:dLbls>
            <c:dLbl>
              <c:idx val="0"/>
              <c:layout>
                <c:manualLayout>
                  <c:x val="-9.320277273033177E-2"/>
                  <c:y val="-2.4381966960012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7.0035163873746545E-2"/>
                  <c:y val="4.3631002007102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0745003028467593E-2"/>
                  <c:y val="5.43220626833410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8706844336765594E-2"/>
                  <c:y val="5.5585301837270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5.3500740292078956E-2"/>
                  <c:y val="5.5054500540373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1.6856282387778452E-2"/>
                  <c:y val="4.25459317585301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2018 г. 
отчет</c:v>
                </c:pt>
                <c:pt idx="1">
                  <c:v>2019 г. оценка</c:v>
                </c:pt>
                <c:pt idx="2">
                  <c:v>2020 г.</c:v>
                </c:pt>
                <c:pt idx="3">
                  <c:v>2021 г. прогноз</c:v>
                </c:pt>
                <c:pt idx="4">
                  <c:v>2022 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-4.62</c:v>
                </c:pt>
                <c:pt idx="1">
                  <c:v>-4.97</c:v>
                </c:pt>
                <c:pt idx="2">
                  <c:v>-4.91</c:v>
                </c:pt>
                <c:pt idx="3">
                  <c:v>-4.84</c:v>
                </c:pt>
                <c:pt idx="4">
                  <c:v>-4.7779999999999996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Миграционный прирост (убыль)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dLbls>
            <c:dLbl>
              <c:idx val="0"/>
              <c:layout>
                <c:manualLayout>
                  <c:x val="-8.322329901070058E-2"/>
                  <c:y val="-4.70934074417168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6664984184669224E-2"/>
                  <c:y val="-5.31915833753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7629046369203849E-2"/>
                  <c:y val="-5.4667762489284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6914519685039367E-2"/>
                  <c:y val="-5.1431690304766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8793323911434148E-2"/>
                  <c:y val="-7.54463267849094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0275590551181101E-2"/>
                  <c:y val="-7.69890381349390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chemeClr val="bg2">
                        <a:lumMod val="10000"/>
                      </a:schemeClr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2018 г. 
отчет</c:v>
                </c:pt>
                <c:pt idx="1">
                  <c:v>2019 г. оценка</c:v>
                </c:pt>
                <c:pt idx="2">
                  <c:v>2020 г.</c:v>
                </c:pt>
                <c:pt idx="3">
                  <c:v>2021 г. прогноз</c:v>
                </c:pt>
                <c:pt idx="4">
                  <c:v>2022 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2.35</c:v>
                </c:pt>
                <c:pt idx="2">
                  <c:v>2.48</c:v>
                </c:pt>
                <c:pt idx="3">
                  <c:v>2.73</c:v>
                </c:pt>
                <c:pt idx="4">
                  <c:v>2.99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0023936"/>
        <c:axId val="170222336"/>
      </c:lineChart>
      <c:catAx>
        <c:axId val="1700239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low"/>
        <c:txPr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70222336"/>
        <c:crosses val="autoZero"/>
        <c:auto val="1"/>
        <c:lblAlgn val="ctr"/>
        <c:lblOffset val="100"/>
        <c:noMultiLvlLbl val="0"/>
      </c:catAx>
      <c:valAx>
        <c:axId val="1702223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70023936"/>
        <c:crosses val="autoZero"/>
        <c:crossBetween val="between"/>
        <c:majorUnit val="1"/>
        <c:minorUnit val="0.2"/>
      </c:valAx>
    </c:plotArea>
    <c:legend>
      <c:legendPos val="b"/>
      <c:layout>
        <c:manualLayout>
          <c:xMode val="edge"/>
          <c:yMode val="edge"/>
          <c:x val="1.7064433823869393E-2"/>
          <c:y val="0.81078276980083375"/>
          <c:w val="0.96478237095363084"/>
          <c:h val="0.1454679635633781"/>
        </c:manualLayout>
      </c:layout>
      <c:overlay val="0"/>
      <c:txPr>
        <a:bodyPr/>
        <a:lstStyle/>
        <a:p>
          <a:pPr>
            <a:defRPr sz="1200" b="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3289602273691765E-2"/>
          <c:y val="0.22762148663455903"/>
          <c:w val="0.2476901809245097"/>
          <c:h val="0.6506209175309396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промышленного производства в 2018 годe, тыс.руб</c:v>
                </c:pt>
              </c:strCache>
            </c:strRef>
          </c:tx>
          <c:dPt>
            <c:idx val="0"/>
            <c:bubble3D val="0"/>
            <c:explosion val="9"/>
            <c:spPr>
              <a:solidFill>
                <a:srgbClr val="4BACC6">
                  <a:lumMod val="75000"/>
                </a:srgbClr>
              </a:solidFill>
            </c:spPr>
          </c:dPt>
          <c:dPt>
            <c:idx val="1"/>
            <c:bubble3D val="0"/>
            <c:explosion val="8"/>
            <c:spPr>
              <a:solidFill>
                <a:srgbClr val="62AA6E"/>
              </a:solidFill>
            </c:spPr>
          </c:dPt>
          <c:dPt>
            <c:idx val="2"/>
            <c:bubble3D val="0"/>
            <c:explosion val="16"/>
            <c:spPr>
              <a:solidFill>
                <a:srgbClr val="C0504D"/>
              </a:solidFill>
            </c:spPr>
          </c:dPt>
          <c:dPt>
            <c:idx val="3"/>
            <c:bubble3D val="0"/>
            <c:explosion val="6"/>
          </c:dPt>
          <c:dPt>
            <c:idx val="4"/>
            <c:bubble3D val="0"/>
            <c:explosion val="5"/>
          </c:dPt>
          <c:dPt>
            <c:idx val="5"/>
            <c:bubble3D val="0"/>
            <c:explosion val="4"/>
          </c:dPt>
          <c:dLbls>
            <c:dLbl>
              <c:idx val="0"/>
              <c:layout>
                <c:manualLayout>
                  <c:x val="4.3197082038563392E-3"/>
                  <c:y val="-5.1750546925733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7986888772955766E-3"/>
                  <c:y val="-0.110336531820162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6.9673195108399845E-3"/>
                  <c:y val="-6.65387251804744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Обрабатывающие производства</c:v>
                </c:pt>
                <c:pt idx="1">
                  <c:v>Обеспечение электрической энергией, газом и паром; кондиционирование воздуха</c:v>
                </c:pt>
                <c:pt idx="2">
                  <c:v>Водоснабжение; водоотведение, организация сбора и утилизации отходов, деятельность по ликвидации загрязнений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0.63855797703794093</c:v>
                </c:pt>
                <c:pt idx="1">
                  <c:v>0.33239552074326217</c:v>
                </c:pt>
                <c:pt idx="2">
                  <c:v>2.9046502218796798E-2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200" b="0" baseline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 baseline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b="0" baseline="0"/>
            </a:pPr>
            <a:endParaRPr lang="ru-RU"/>
          </a:p>
        </c:txPr>
      </c:legendEntry>
      <c:layout>
        <c:manualLayout>
          <c:xMode val="edge"/>
          <c:yMode val="edge"/>
          <c:x val="0.36550556266807627"/>
          <c:y val="0.10574263437388565"/>
          <c:w val="0.63385269956895984"/>
          <c:h val="0.82434165827426542"/>
        </c:manualLayout>
      </c:layout>
      <c:overlay val="0"/>
      <c:txPr>
        <a:bodyPr/>
        <a:lstStyle/>
        <a:p>
          <a:pPr>
            <a:defRPr sz="1200" b="0" baseline="0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385480753812526"/>
          <c:y val="0.1095016445729094"/>
          <c:w val="0.43048011360768756"/>
          <c:h val="0.7295732527386973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Прогноз социально-экономического развития города Иванова на 2019 год и плановый период 2020 и 2021 гг.</c:v>
                </c:pt>
              </c:strCache>
            </c:strRef>
          </c:tx>
          <c:spPr>
            <a:solidFill>
              <a:srgbClr val="8064A2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0"/>
                  <c:y val="-3.2313747954946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-3.23137479549468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6.0804005435858522E-3"/>
                  <c:y val="5.98694655377536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4036243263344945E-2"/>
                  <c:y val="8.47886492700832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 г.</c:v>
                </c:pt>
                <c:pt idx="1">
                  <c:v>2018 г.</c:v>
                </c:pt>
                <c:pt idx="2">
                  <c:v>2019 г.</c:v>
                </c:pt>
                <c:pt idx="3">
                  <c:v>2020 г.</c:v>
                </c:pt>
                <c:pt idx="4">
                  <c:v>2021 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705.9</c:v>
                </c:pt>
                <c:pt idx="1">
                  <c:v>707.7</c:v>
                </c:pt>
                <c:pt idx="2">
                  <c:v>708.2</c:v>
                </c:pt>
                <c:pt idx="3">
                  <c:v>708.7</c:v>
                </c:pt>
                <c:pt idx="4">
                  <c:v>709.3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Прогноз социально-экономического развития города Иванова на 2020 год и плановый период 2021 и 2022 гг.</c:v>
                </c:pt>
              </c:strCache>
            </c:strRef>
          </c:tx>
          <c:spPr>
            <a:solidFill>
              <a:srgbClr val="C0504D"/>
            </a:solidFill>
            <a:ln>
              <a:noFill/>
            </a:ln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 г.</c:v>
                </c:pt>
                <c:pt idx="1">
                  <c:v>2018 г.</c:v>
                </c:pt>
                <c:pt idx="2">
                  <c:v>2019 г.</c:v>
                </c:pt>
                <c:pt idx="3">
                  <c:v>2020 г.</c:v>
                </c:pt>
                <c:pt idx="4">
                  <c:v>2021 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705.9</c:v>
                </c:pt>
                <c:pt idx="1">
                  <c:v>707.7</c:v>
                </c:pt>
                <c:pt idx="2">
                  <c:v>707.7</c:v>
                </c:pt>
                <c:pt idx="3" formatCode="0.0">
                  <c:v>707.7</c:v>
                </c:pt>
                <c:pt idx="4">
                  <c:v>710.3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307968"/>
        <c:axId val="170309504"/>
      </c:barChart>
      <c:catAx>
        <c:axId val="17030796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70309504"/>
        <c:crossesAt val="700"/>
        <c:auto val="1"/>
        <c:lblAlgn val="ctr"/>
        <c:lblOffset val="100"/>
        <c:noMultiLvlLbl val="0"/>
      </c:catAx>
      <c:valAx>
        <c:axId val="17030950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70307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6954575220301007"/>
          <c:y val="0.10119527995288682"/>
          <c:w val="0.41996280663234403"/>
          <c:h val="0.69279321793302295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 sz="1400"/>
            </a:pPr>
            <a:r>
              <a:rPr lang="ru-RU" sz="1400"/>
              <a:t>Основные показатели</a:t>
            </a:r>
            <a:r>
              <a:rPr lang="ru-RU" sz="1400" baseline="0"/>
              <a:t> в сфере </a:t>
            </a:r>
            <a:r>
              <a:rPr lang="ru-RU" sz="1400"/>
              <a:t>малого </a:t>
            </a:r>
          </a:p>
          <a:p>
            <a:pPr>
              <a:defRPr sz="1400"/>
            </a:pPr>
            <a:r>
              <a:rPr lang="ru-RU" sz="1400"/>
              <a:t>и среднего предпринимательства</a:t>
            </a:r>
          </a:p>
        </c:rich>
      </c:tx>
      <c:layout>
        <c:manualLayout>
          <c:xMode val="edge"/>
          <c:yMode val="edge"/>
          <c:x val="0.2413409435170292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2093388826556308E-2"/>
          <c:y val="0.19979697285451867"/>
          <c:w val="0.77834177021465434"/>
          <c:h val="0.53754488327238292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субъектов малого и среднего предпринимательства (тыс.ед.)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200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2018 г.</c:v>
                </c:pt>
                <c:pt idx="1">
                  <c:v>2019 г.</c:v>
                </c:pt>
                <c:pt idx="2">
                  <c:v>2020 г.</c:v>
                </c:pt>
                <c:pt idx="3">
                  <c:v>2021 г.</c:v>
                </c:pt>
                <c:pt idx="4">
                  <c:v>2022 г.</c:v>
                </c:pt>
              </c:strCache>
            </c:strRef>
          </c:cat>
          <c:val>
            <c:numRef>
              <c:f>Лист1!$C$2:$C$6</c:f>
              <c:numCache>
                <c:formatCode>0.00</c:formatCode>
                <c:ptCount val="5"/>
                <c:pt idx="0">
                  <c:v>16.03</c:v>
                </c:pt>
                <c:pt idx="1">
                  <c:v>16.05</c:v>
                </c:pt>
                <c:pt idx="2">
                  <c:v>16.07</c:v>
                </c:pt>
                <c:pt idx="3">
                  <c:v>16.079999999999998</c:v>
                </c:pt>
                <c:pt idx="4">
                  <c:v>16.100000000000001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7"/>
        <c:axId val="170427136"/>
        <c:axId val="170428672"/>
      </c:barChar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оборот малых и средних предприятий (млрд руб.)</c:v>
                </c:pt>
              </c:strCache>
            </c:strRef>
          </c:tx>
          <c:spPr>
            <a:ln w="22225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lt1"/>
              </a:solidFill>
              <a:ln w="15875">
                <a:solidFill>
                  <a:schemeClr val="accent2">
                    <a:lumMod val="75000"/>
                  </a:schemeClr>
                </a:solidFill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4.9226352817780886E-2"/>
                  <c:y val="-8.57579467553274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9210050592674373E-2"/>
                  <c:y val="-5.82631401844000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9899046986964771E-2"/>
                  <c:y val="-5.92366715755063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4151784325431801E-2"/>
                  <c:y val="-6.73552473008262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5.6206917751701072E-2"/>
                  <c:y val="-6.66540945766844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5.0042813736542846E-2"/>
                  <c:y val="-5.99328703237357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200" b="1">
                    <a:solidFill>
                      <a:schemeClr val="accent2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2018 г.</c:v>
                </c:pt>
                <c:pt idx="1">
                  <c:v>2019 г.</c:v>
                </c:pt>
                <c:pt idx="2">
                  <c:v>2020 г.</c:v>
                </c:pt>
                <c:pt idx="3">
                  <c:v>2021 г.</c:v>
                </c:pt>
                <c:pt idx="4">
                  <c:v>2022 г.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348.8</c:v>
                </c:pt>
                <c:pt idx="1">
                  <c:v>363.5</c:v>
                </c:pt>
                <c:pt idx="2">
                  <c:v>376.8</c:v>
                </c:pt>
                <c:pt idx="3">
                  <c:v>394.8</c:v>
                </c:pt>
                <c:pt idx="4">
                  <c:v>413.7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0434560"/>
        <c:axId val="170436096"/>
      </c:lineChart>
      <c:catAx>
        <c:axId val="170427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1200" b="1"/>
            </a:pPr>
            <a:endParaRPr lang="ru-RU"/>
          </a:p>
        </c:txPr>
        <c:crossAx val="170428672"/>
        <c:crosses val="autoZero"/>
        <c:auto val="1"/>
        <c:lblAlgn val="ctr"/>
        <c:lblOffset val="100"/>
        <c:noMultiLvlLbl val="0"/>
      </c:catAx>
      <c:valAx>
        <c:axId val="170428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1200" b="1"/>
            </a:pPr>
            <a:endParaRPr lang="ru-RU"/>
          </a:p>
        </c:txPr>
        <c:crossAx val="170427136"/>
        <c:crosses val="autoZero"/>
        <c:crossBetween val="between"/>
      </c:valAx>
      <c:catAx>
        <c:axId val="1704345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0436096"/>
        <c:crosses val="autoZero"/>
        <c:auto val="1"/>
        <c:lblAlgn val="ctr"/>
        <c:lblOffset val="100"/>
        <c:noMultiLvlLbl val="0"/>
      </c:catAx>
      <c:valAx>
        <c:axId val="170436096"/>
        <c:scaling>
          <c:orientation val="minMax"/>
        </c:scaling>
        <c:delete val="0"/>
        <c:axPos val="r"/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1200" b="1"/>
            </a:pPr>
            <a:endParaRPr lang="ru-RU"/>
          </a:p>
        </c:txPr>
        <c:crossAx val="170434560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1"/>
              <a:t>2018 г.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explosion val="25"/>
          <c:dPt>
            <c:idx val="1"/>
            <c:bubble3D val="0"/>
            <c:spPr>
              <a:solidFill>
                <a:srgbClr val="00B050"/>
              </a:solidFill>
            </c:spPr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Pt>
            <c:idx val="3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7.1188577156010832E-2"/>
                  <c:y val="-6.51709786276715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8029673374161568E-3"/>
                  <c:y val="-1.64216352388575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4.93178135861737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2359379556722077E-2"/>
                  <c:y val="1.1808417564825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-6.78765449304087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 возмещение затрат по созданию мест в негосударственных дошкольных организациях и семейных детских садах</c:v>
                </c:pt>
                <c:pt idx="1">
                  <c:v> на возмещение затрат по участию в  региональных, межрегиональных  и   международных выставочно-ярмарочных мероприятиях</c:v>
                </c:pt>
                <c:pt idx="2">
                  <c:v>на возмещение затрат по оплате процентов по кредитам, полученным в кредитных организациях</c:v>
                </c:pt>
                <c:pt idx="3">
                  <c:v>на возмещение затрат по приобретению оборудования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0.1</c:v>
                </c:pt>
                <c:pt idx="1">
                  <c:v>1.3</c:v>
                </c:pt>
                <c:pt idx="2">
                  <c:v>0.2</c:v>
                </c:pt>
                <c:pt idx="3" formatCode="0.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/>
              <a:t>2019 г.</a:t>
            </a:r>
          </a:p>
        </c:rich>
      </c:tx>
      <c:layout>
        <c:manualLayout>
          <c:xMode val="edge"/>
          <c:yMode val="edge"/>
          <c:x val="0.39754969440008814"/>
          <c:y val="6.6437857723812666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479367907630515"/>
          <c:y val="0.28056917495365075"/>
          <c:w val="0.77041264184738967"/>
          <c:h val="0.6318551602193572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explosion val="25"/>
          <c:dPt>
            <c:idx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3"/>
            <c:bubble3D val="0"/>
            <c:spPr>
              <a:solidFill>
                <a:srgbClr val="00B050"/>
              </a:solidFill>
            </c:spPr>
          </c:dPt>
          <c:dLbls>
            <c:dLbl>
              <c:idx val="0"/>
              <c:layout>
                <c:manualLayout>
                  <c:x val="6.4517237764461039E-3"/>
                  <c:y val="-5.74281537940467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-0.229141744466063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13832604257801101"/>
                  <c:y val="-1.8543448198007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9.9836567329620145E-3"/>
                  <c:y val="-9.01650369640620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Субсидия на возмещение затрат по оплате процентов по кредитам, полученным в кредитных организациях</c:v>
                </c:pt>
                <c:pt idx="1">
                  <c:v>Субсидия на возмещение затрат по приобретению оборудования</c:v>
                </c:pt>
                <c:pt idx="2">
                  <c:v>Субсидия на возмещение затрат по созданию мест в негосударственных дошкольных организациях и семейных детских садах</c:v>
                </c:pt>
                <c:pt idx="3">
                  <c:v>Субсидия на возмещение затрат по участию в  региональных, межрегиональных  и   международных выставочно-ярмарочных мероприятиях</c:v>
                </c:pt>
                <c:pt idx="4">
                  <c:v>Субсидия навозмещение затрат по организации выставочных мероприятий в г.Иваново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0.6</c:v>
                </c:pt>
                <c:pt idx="1">
                  <c:v>1.5</c:v>
                </c:pt>
                <c:pt idx="2">
                  <c:v>0.4</c:v>
                </c:pt>
                <c:pt idx="3">
                  <c:v>1.8</c:v>
                </c:pt>
                <c:pt idx="4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0.0465</cdr:x>
      <cdr:y>0.45404</cdr:y>
    </cdr:from>
    <cdr:to>
      <cdr:x>0.96847</cdr:x>
      <cdr:y>0.45404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>
          <a:off x="276225" y="1285875"/>
          <a:ext cx="5476875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chemeClr val="tx1"/>
          </a:solidFill>
          <a:headEnd w="lg" len="lg"/>
        </a:ln>
        <a:effectLst xmlns:a="http://schemas.openxmlformats.org/drawingml/2006/main">
          <a:outerShdw blurRad="76200" dist="12700" dir="2700000" sy="-23000" kx="-800400" algn="bl" rotWithShape="0">
            <a:prstClr val="black">
              <a:alpha val="20000"/>
            </a:prstClr>
          </a:outerShdw>
        </a:effectLst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17414-06A2-4A35-B5D3-E9F227DD0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8733</Words>
  <Characters>49782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Михайловна Корнева</dc:creator>
  <cp:lastModifiedBy>Татьяна Сергеевна Боброва</cp:lastModifiedBy>
  <cp:revision>2</cp:revision>
  <cp:lastPrinted>2019-11-15T06:08:00Z</cp:lastPrinted>
  <dcterms:created xsi:type="dcterms:W3CDTF">2019-11-15T06:52:00Z</dcterms:created>
  <dcterms:modified xsi:type="dcterms:W3CDTF">2019-11-15T06:52:00Z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-559190453</vt:i4>
  </property>
</Properties>
</file>