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2E" w:rsidRPr="00A42769" w:rsidRDefault="006801E7" w:rsidP="00014631">
      <w:pPr>
        <w:keepNext/>
        <w:autoSpaceDE w:val="0"/>
        <w:autoSpaceDN w:val="0"/>
        <w:adjustRightInd w:val="0"/>
        <w:outlineLvl w:val="0"/>
        <w:rPr>
          <w:rFonts w:eastAsia="Calibri"/>
          <w:sz w:val="22"/>
          <w:szCs w:val="22"/>
          <w:lang w:eastAsia="en-US"/>
        </w:rPr>
      </w:pPr>
      <w:r w:rsidRPr="00A42769">
        <w:rPr>
          <w:rFonts w:eastAsia="Calibri"/>
          <w:sz w:val="22"/>
          <w:szCs w:val="22"/>
          <w:lang w:eastAsia="en-US"/>
        </w:rPr>
        <w:t xml:space="preserve"> </w:t>
      </w:r>
      <w:r w:rsidR="0064342E" w:rsidRPr="00A42769">
        <w:rPr>
          <w:rFonts w:eastAsia="Calibri"/>
          <w:sz w:val="22"/>
          <w:szCs w:val="22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532"/>
        <w:gridCol w:w="1356"/>
        <w:gridCol w:w="1104"/>
        <w:gridCol w:w="1104"/>
        <w:gridCol w:w="994"/>
        <w:gridCol w:w="994"/>
      </w:tblGrid>
      <w:tr w:rsidR="00A42769" w:rsidRPr="00A42769" w:rsidTr="00441528">
        <w:trPr>
          <w:trHeight w:val="239"/>
          <w:tblHeader/>
          <w:jc w:val="center"/>
        </w:trPr>
        <w:tc>
          <w:tcPr>
            <w:tcW w:w="203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Наименование мероприятия</w:t>
            </w:r>
          </w:p>
        </w:tc>
        <w:tc>
          <w:tcPr>
            <w:tcW w:w="716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Исполнитель</w:t>
            </w:r>
          </w:p>
        </w:tc>
        <w:tc>
          <w:tcPr>
            <w:tcW w:w="583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583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525" w:type="pct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2017</w:t>
            </w:r>
          </w:p>
        </w:tc>
      </w:tr>
      <w:tr w:rsidR="00A42769" w:rsidRPr="00A42769" w:rsidTr="00441528">
        <w:trPr>
          <w:trHeight w:val="298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202 791,04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256 269,57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40 690,15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57 069,17</w:t>
            </w:r>
          </w:p>
        </w:tc>
      </w:tr>
      <w:tr w:rsidR="00A42769" w:rsidRPr="00A42769" w:rsidTr="00441528">
        <w:trPr>
          <w:trHeight w:val="273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87 059,55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151 984,98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40 690,15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57 069,17</w:t>
            </w:r>
          </w:p>
        </w:tc>
      </w:tr>
      <w:tr w:rsidR="00A42769" w:rsidRPr="00A42769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62 209,97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129 831,55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40 690,15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57 069,17</w:t>
            </w:r>
          </w:p>
        </w:tc>
      </w:tr>
      <w:tr w:rsidR="00A42769" w:rsidRPr="00A42769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tabs>
                <w:tab w:val="left" w:pos="1902"/>
              </w:tabs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  <w:r w:rsidRPr="00A42769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55 331,7</w:t>
            </w:r>
            <w:r w:rsidRPr="00A42769">
              <w:rPr>
                <w:rFonts w:eastAsia="Calibr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35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839,43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295"/>
          <w:jc w:val="center"/>
        </w:trPr>
        <w:tc>
          <w:tcPr>
            <w:tcW w:w="2784" w:type="pct"/>
            <w:gridSpan w:val="3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143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47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47"/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784" w:type="pct"/>
            <w:gridSpan w:val="3"/>
            <w:shd w:val="clear" w:color="auto" w:fill="auto"/>
          </w:tcPr>
          <w:p w:rsidR="0064342E" w:rsidRPr="00A42769" w:rsidRDefault="0064342E" w:rsidP="00014631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A42769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202 706,00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236 187,61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F3317F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86 974,51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131 903,02</w:t>
            </w:r>
          </w:p>
        </w:tc>
        <w:tc>
          <w:tcPr>
            <w:tcW w:w="525" w:type="pct"/>
            <w:shd w:val="clear" w:color="auto" w:fill="auto"/>
          </w:tcPr>
          <w:p w:rsidR="0064342E" w:rsidRPr="00A42769" w:rsidRDefault="00F3317F" w:rsidP="00D16680">
            <w:pPr>
              <w:keepNext/>
              <w:jc w:val="center"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trHeight w:val="233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62 124,93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109 749,59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F3317F" w:rsidP="00014631">
            <w:pPr>
              <w:keepNext/>
              <w:jc w:val="center"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</w:tcPr>
          <w:p w:rsidR="0064342E" w:rsidRPr="00A42769" w:rsidRDefault="0064342E" w:rsidP="00014631">
            <w:pPr>
              <w:keepNext/>
              <w:rPr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014631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55 331,7</w:t>
            </w:r>
            <w:r w:rsidRPr="00A42769">
              <w:rPr>
                <w:rFonts w:eastAsia="Calibr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202 706,00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214 698,18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86 974,51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110 413,59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62 124,93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88 260,16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246,61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55 331,7</w:t>
            </w:r>
            <w:r w:rsidRPr="00A42769">
              <w:rPr>
                <w:rFonts w:eastAsia="Calibr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24 849,58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22 153,43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373,93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31,09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22 122,34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49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115 731,49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104 284,59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15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389,19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32,35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104 252,24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 w:rsidRPr="00A427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A67390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 w:rsidRPr="00A427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A67390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 w:rsidRPr="00A427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21 489,43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A67390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25 139,72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28 321,56</w:t>
            </w:r>
          </w:p>
        </w:tc>
      </w:tr>
      <w:tr w:rsidR="00A42769" w:rsidRPr="00A42769" w:rsidTr="00441528">
        <w:trPr>
          <w:trHeight w:val="18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</w:tcPr>
          <w:p w:rsidR="0064342E" w:rsidRPr="00A42769" w:rsidRDefault="0064342E" w:rsidP="00EF2AE4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b/>
                <w:sz w:val="20"/>
                <w:szCs w:val="20"/>
              </w:rPr>
            </w:pPr>
            <w:r w:rsidRPr="00A427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76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</w:t>
            </w: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lastRenderedPageBreak/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220618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10 159,43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28 635,61</w:t>
            </w:r>
          </w:p>
        </w:tc>
      </w:tr>
      <w:tr w:rsidR="00A42769" w:rsidRPr="00A42769" w:rsidTr="00441528">
        <w:trPr>
          <w:trHeight w:val="22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220618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10 159,43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28 635,61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19 852,42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220618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10 159,43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28 635,61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64342E" w:rsidRPr="00A42769" w:rsidRDefault="00F3317F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839,43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459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3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112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</w:tr>
      <w:tr w:rsidR="00A42769" w:rsidRPr="00A42769" w:rsidTr="00441528">
        <w:trPr>
          <w:trHeight w:val="28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112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</w:tr>
      <w:tr w:rsidR="00A42769" w:rsidRPr="00A42769" w:rsidTr="00441528">
        <w:trPr>
          <w:trHeight w:val="284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25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219,54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48,00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112</w:t>
            </w:r>
            <w:r w:rsidRPr="00A42769">
              <w:rPr>
                <w:rFonts w:eastAsia="Calibri"/>
                <w:sz w:val="20"/>
                <w:szCs w:val="20"/>
                <w:lang w:val="x-none" w:eastAsia="x-none"/>
              </w:rPr>
              <w:t>,00</w:t>
            </w:r>
          </w:p>
        </w:tc>
      </w:tr>
      <w:tr w:rsidR="00A42769" w:rsidRPr="00A42769" w:rsidTr="00441528">
        <w:trPr>
          <w:trHeight w:val="26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sz w:val="20"/>
                <w:szCs w:val="20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331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4276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42769">
              <w:rPr>
                <w:rFonts w:eastAsia="Calibri"/>
                <w:sz w:val="20"/>
                <w:szCs w:val="20"/>
              </w:rPr>
              <w:t>50,04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5 000,00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4276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A42769" w:rsidRPr="00A42769" w:rsidTr="00441528">
        <w:trPr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val="x-none"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485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395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56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10,00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42769">
              <w:rPr>
                <w:rFonts w:eastAsia="Calibri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домах, расселяемыми в судебном порядке</w:t>
            </w:r>
          </w:p>
        </w:tc>
        <w:tc>
          <w:tcPr>
            <w:tcW w:w="716" w:type="pct"/>
            <w:vMerge w:val="restar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sz w:val="20"/>
                <w:szCs w:val="20"/>
                <w:lang w:eastAsia="x-none"/>
              </w:rPr>
              <w:t>343,00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  <w:tr w:rsidR="00A42769" w:rsidRPr="00A42769" w:rsidTr="00441528">
        <w:trPr>
          <w:trHeight w:val="277"/>
          <w:jc w:val="center"/>
        </w:trPr>
        <w:tc>
          <w:tcPr>
            <w:tcW w:w="20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42769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16" w:type="pct"/>
            <w:vMerge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525" w:type="pct"/>
          </w:tcPr>
          <w:p w:rsidR="0064342E" w:rsidRPr="00A42769" w:rsidRDefault="0064342E" w:rsidP="00EF2AE4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42769">
              <w:rPr>
                <w:rFonts w:eastAsia="Calibri"/>
                <w:b/>
                <w:sz w:val="20"/>
                <w:szCs w:val="20"/>
                <w:lang w:eastAsia="x-none"/>
              </w:rPr>
              <w:t>-</w:t>
            </w:r>
          </w:p>
        </w:tc>
      </w:tr>
    </w:tbl>
    <w:p w:rsidR="0064342E" w:rsidRPr="00A42769" w:rsidRDefault="0064342E" w:rsidP="005B2813">
      <w:pPr>
        <w:keepNext/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A42769">
        <w:rPr>
          <w:rFonts w:eastAsia="Calibri"/>
          <w:sz w:val="20"/>
          <w:szCs w:val="20"/>
          <w:lang w:eastAsia="en-US"/>
        </w:rPr>
        <w:t>».</w:t>
      </w:r>
    </w:p>
    <w:p w:rsidR="00B321CD" w:rsidRDefault="00B321CD" w:rsidP="005B2813">
      <w:pPr>
        <w:keepNext/>
        <w:ind w:firstLine="709"/>
        <w:jc w:val="both"/>
        <w:rPr>
          <w:rFonts w:eastAsia="Calibri"/>
          <w:lang w:eastAsia="en-US"/>
        </w:rPr>
      </w:pP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1E7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1E7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B857-321E-494A-9035-8E23F771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2016-10-21T08:56:00Z</dcterms:modified>
</cp:coreProperties>
</file>