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FC" w:rsidRPr="00744B0C" w:rsidRDefault="008B10D0" w:rsidP="009D1DB4">
      <w:pPr>
        <w:pStyle w:val="a7"/>
        <w:spacing w:before="0" w:after="0"/>
        <w:ind w:firstLine="709"/>
        <w:jc w:val="both"/>
        <w:rPr>
          <w:sz w:val="20"/>
          <w:szCs w:val="20"/>
        </w:rPr>
      </w:pPr>
      <w:r>
        <w:t xml:space="preserve"> </w:t>
      </w:r>
      <w:r w:rsidR="001A52FC">
        <w:t>«</w:t>
      </w:r>
      <w:r w:rsidR="00744B0C">
        <w:rPr>
          <w:sz w:val="20"/>
          <w:szCs w:val="20"/>
        </w:rPr>
        <w:t>Таблица 7 Эксплуатационные расходы, возникающие в связи с реализацией Программы»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247"/>
        <w:gridCol w:w="1247"/>
        <w:gridCol w:w="1304"/>
        <w:gridCol w:w="1247"/>
      </w:tblGrid>
      <w:tr w:rsidR="001A52FC" w:rsidRPr="001A52F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A52FC" w:rsidRPr="001A52F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Общий объем возникающих эксплуатационных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8912,10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5614,40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30158,60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31295,40</w:t>
            </w:r>
          </w:p>
        </w:tc>
      </w:tr>
      <w:tr w:rsidR="001A52FC" w:rsidRPr="001A52F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расходов, относящихся на расходные обязательства, не входящие в Программу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C" w:rsidRPr="00D34FDC" w:rsidRDefault="001A52FC" w:rsidP="001A5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F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A52FC" w:rsidRDefault="001A52FC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0F300C" w:rsidSect="006A7520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D0">
          <w:rPr>
            <w:noProof/>
          </w:rPr>
          <w:t>6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23480"/>
    <w:rsid w:val="00737BA6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10D0"/>
    <w:rsid w:val="008B4416"/>
    <w:rsid w:val="008B5E70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F134-4D71-4C93-B2DB-0E0FC302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2015-12-30T06:57:00Z</dcterms:modified>
</cp:coreProperties>
</file>