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00" w:rsidRPr="00846500" w:rsidRDefault="00846500" w:rsidP="00846500">
      <w:pPr>
        <w:pStyle w:val="31"/>
        <w:spacing w:before="0" w:beforeAutospacing="0" w:after="0" w:afterAutospacing="0"/>
        <w:jc w:val="center"/>
        <w:rPr>
          <w:b/>
          <w:sz w:val="26"/>
          <w:szCs w:val="26"/>
        </w:rPr>
      </w:pPr>
      <w:r w:rsidRPr="00846500">
        <w:rPr>
          <w:b/>
          <w:sz w:val="26"/>
          <w:szCs w:val="26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846500" w:rsidRPr="00846500" w:rsidRDefault="00846500" w:rsidP="00846500">
      <w:pPr>
        <w:pStyle w:val="32"/>
        <w:spacing w:before="0" w:beforeAutospacing="0" w:after="0" w:afterAutospacing="0"/>
        <w:jc w:val="center"/>
        <w:rPr>
          <w:b/>
          <w:sz w:val="26"/>
          <w:szCs w:val="26"/>
        </w:rPr>
      </w:pPr>
      <w:r w:rsidRPr="00846500">
        <w:rPr>
          <w:b/>
          <w:sz w:val="26"/>
          <w:szCs w:val="26"/>
        </w:rPr>
        <w:t>для закупки №0133300001714000661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846500" w:rsidRPr="00846500" w:rsidTr="00846500">
        <w:tc>
          <w:tcPr>
            <w:tcW w:w="2500" w:type="pct"/>
            <w:vAlign w:val="center"/>
            <w:hideMark/>
          </w:tcPr>
          <w:p w:rsidR="00846500" w:rsidRPr="00846500" w:rsidRDefault="0084650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0" w:type="pct"/>
            <w:vAlign w:val="center"/>
            <w:hideMark/>
          </w:tcPr>
          <w:p w:rsidR="00846500" w:rsidRPr="00846500" w:rsidRDefault="0084650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0" w:type="pct"/>
            <w:vAlign w:val="center"/>
            <w:hideMark/>
          </w:tcPr>
          <w:p w:rsidR="00846500" w:rsidRPr="00846500" w:rsidRDefault="0084650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46500" w:rsidRPr="00846500" w:rsidTr="00846500">
        <w:tc>
          <w:tcPr>
            <w:tcW w:w="0" w:type="auto"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spellEnd"/>
            <w:proofErr w:type="gramEnd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16 июля 2014</w:t>
            </w:r>
          </w:p>
        </w:tc>
      </w:tr>
      <w:tr w:rsidR="00846500" w:rsidRPr="00846500" w:rsidTr="00846500">
        <w:tc>
          <w:tcPr>
            <w:tcW w:w="0" w:type="auto"/>
            <w:vAlign w:val="center"/>
            <w:hideMark/>
          </w:tcPr>
          <w:p w:rsidR="00846500" w:rsidRPr="00846500" w:rsidRDefault="00846500">
            <w:pPr>
              <w:pStyle w:val="underlinetitle"/>
              <w:rPr>
                <w:sz w:val="26"/>
                <w:szCs w:val="26"/>
              </w:rPr>
            </w:pPr>
            <w:r w:rsidRPr="00846500">
              <w:rPr>
                <w:sz w:val="26"/>
                <w:szCs w:val="26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846500" w:rsidRPr="00846500" w:rsidRDefault="00846500">
            <w:pPr>
              <w:pStyle w:val="underlinetitle"/>
              <w:rPr>
                <w:sz w:val="26"/>
                <w:szCs w:val="26"/>
              </w:rPr>
            </w:pPr>
            <w:r w:rsidRPr="00846500">
              <w:rPr>
                <w:sz w:val="26"/>
                <w:szCs w:val="26"/>
              </w:rPr>
              <w:t>(дата подписания протокола)</w:t>
            </w:r>
          </w:p>
        </w:tc>
      </w:tr>
    </w:tbl>
    <w:p w:rsidR="00846500" w:rsidRPr="00846500" w:rsidRDefault="00846500" w:rsidP="00846500">
      <w:pPr>
        <w:pStyle w:val="3"/>
        <w:rPr>
          <w:sz w:val="26"/>
          <w:szCs w:val="26"/>
        </w:rPr>
      </w:pPr>
      <w:r w:rsidRPr="00846500">
        <w:rPr>
          <w:sz w:val="26"/>
          <w:szCs w:val="26"/>
        </w:rPr>
        <w:t>1. Повестка дня</w:t>
      </w:r>
    </w:p>
    <w:p w:rsidR="00846500" w:rsidRPr="00846500" w:rsidRDefault="00846500" w:rsidP="00846500">
      <w:pPr>
        <w:pStyle w:val="a3"/>
        <w:rPr>
          <w:sz w:val="26"/>
          <w:szCs w:val="26"/>
        </w:rPr>
      </w:pPr>
      <w:proofErr w:type="gramStart"/>
      <w:r w:rsidRPr="00846500">
        <w:rPr>
          <w:sz w:val="26"/>
          <w:szCs w:val="26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846500" w:rsidRPr="00846500" w:rsidRDefault="00846500" w:rsidP="00846500">
      <w:pPr>
        <w:pStyle w:val="a3"/>
        <w:rPr>
          <w:sz w:val="26"/>
          <w:szCs w:val="26"/>
        </w:rPr>
      </w:pPr>
      <w:r w:rsidRPr="00846500">
        <w:rPr>
          <w:sz w:val="26"/>
          <w:szCs w:val="26"/>
        </w:rPr>
        <w:t>Извещение о проведении открытого конкурса размещено на официальном сайте www.zakupki.gov.ru "Извещение о проведении открытого конкурса" от 25.06.2014 №0133300001714000661.</w:t>
      </w:r>
    </w:p>
    <w:p w:rsidR="00846500" w:rsidRPr="00846500" w:rsidRDefault="00846500" w:rsidP="00846500">
      <w:pPr>
        <w:pStyle w:val="a3"/>
        <w:rPr>
          <w:sz w:val="26"/>
          <w:szCs w:val="26"/>
        </w:rPr>
      </w:pPr>
      <w:r w:rsidRPr="00846500">
        <w:rPr>
          <w:sz w:val="26"/>
          <w:szCs w:val="26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16.07.2014 11:00 по адресу Российская Федерация, 153000, Ивановская </w:t>
      </w:r>
      <w:proofErr w:type="spellStart"/>
      <w:proofErr w:type="gramStart"/>
      <w:r w:rsidRPr="00846500">
        <w:rPr>
          <w:sz w:val="26"/>
          <w:szCs w:val="26"/>
        </w:rPr>
        <w:t>обл</w:t>
      </w:r>
      <w:proofErr w:type="spellEnd"/>
      <w:proofErr w:type="gramEnd"/>
      <w:r w:rsidRPr="00846500">
        <w:rPr>
          <w:sz w:val="26"/>
          <w:szCs w:val="26"/>
        </w:rPr>
        <w:t>, Иваново г, площадь Революции, 6, 220</w:t>
      </w:r>
    </w:p>
    <w:p w:rsidR="00846500" w:rsidRPr="00846500" w:rsidRDefault="00846500" w:rsidP="00846500">
      <w:pPr>
        <w:pStyle w:val="a3"/>
        <w:rPr>
          <w:sz w:val="26"/>
          <w:szCs w:val="26"/>
        </w:rPr>
      </w:pPr>
      <w:r w:rsidRPr="00846500">
        <w:rPr>
          <w:sz w:val="26"/>
          <w:szCs w:val="26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846500" w:rsidRPr="00846500" w:rsidRDefault="00846500" w:rsidP="00846500">
      <w:pPr>
        <w:pStyle w:val="a3"/>
        <w:rPr>
          <w:sz w:val="26"/>
          <w:szCs w:val="26"/>
        </w:rPr>
      </w:pPr>
      <w:r w:rsidRPr="00846500">
        <w:rPr>
          <w:sz w:val="26"/>
          <w:szCs w:val="26"/>
        </w:rPr>
        <w:t xml:space="preserve">Непосредственно </w:t>
      </w:r>
      <w:proofErr w:type="gramStart"/>
      <w:r w:rsidRPr="00846500">
        <w:rPr>
          <w:sz w:val="26"/>
          <w:szCs w:val="26"/>
        </w:rPr>
        <w:t>перед вскрытием конвертов с заявками на участие в открытом конкурсе в отношении</w:t>
      </w:r>
      <w:proofErr w:type="gramEnd"/>
      <w:r w:rsidRPr="00846500">
        <w:rPr>
          <w:sz w:val="26"/>
          <w:szCs w:val="26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846500" w:rsidRPr="00846500" w:rsidRDefault="00846500" w:rsidP="00846500">
      <w:pPr>
        <w:pStyle w:val="a3"/>
        <w:rPr>
          <w:sz w:val="26"/>
          <w:szCs w:val="26"/>
        </w:rPr>
      </w:pPr>
      <w:proofErr w:type="gramStart"/>
      <w:r w:rsidRPr="00846500">
        <w:rPr>
          <w:sz w:val="26"/>
          <w:szCs w:val="26"/>
        </w:rPr>
        <w:t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</w:t>
      </w:r>
      <w:r w:rsidRPr="00846500">
        <w:rPr>
          <w:sz w:val="26"/>
          <w:szCs w:val="26"/>
        </w:rPr>
        <w:br/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  <w:proofErr w:type="gramEnd"/>
      <w:r w:rsidRPr="00846500">
        <w:rPr>
          <w:sz w:val="26"/>
          <w:szCs w:val="26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846500">
        <w:rPr>
          <w:sz w:val="26"/>
          <w:szCs w:val="26"/>
        </w:rPr>
        <w:lastRenderedPageBreak/>
        <w:t>конверт</w:t>
      </w:r>
      <w:proofErr w:type="gramEnd"/>
      <w:r w:rsidRPr="00846500">
        <w:rPr>
          <w:sz w:val="26"/>
          <w:szCs w:val="26"/>
        </w:rPr>
        <w:t xml:space="preserve"> с заявкой которого вскрывается или доступ к поданной в форме электронного документа заявке которого открывается;</w:t>
      </w:r>
      <w:r w:rsidRPr="00846500">
        <w:rPr>
          <w:sz w:val="26"/>
          <w:szCs w:val="26"/>
        </w:rPr>
        <w:br/>
        <w:t>- наличие информации и документов, предусмотренных конкурсной документацией;</w:t>
      </w:r>
      <w:r w:rsidRPr="00846500">
        <w:rPr>
          <w:sz w:val="26"/>
          <w:szCs w:val="26"/>
        </w:rPr>
        <w:br/>
        <w:t>- условия исполнения контракта, указанные в заявке на участие в открытом конкурсе и являющиеся критерием оценки заявок на участие в открытом конкурсе.</w:t>
      </w:r>
    </w:p>
    <w:p w:rsidR="00846500" w:rsidRPr="00846500" w:rsidRDefault="00846500" w:rsidP="00846500">
      <w:pPr>
        <w:pStyle w:val="3"/>
        <w:rPr>
          <w:sz w:val="26"/>
          <w:szCs w:val="26"/>
        </w:rPr>
      </w:pPr>
      <w:r w:rsidRPr="00846500">
        <w:rPr>
          <w:sz w:val="26"/>
          <w:szCs w:val="26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6348"/>
      </w:tblGrid>
      <w:tr w:rsidR="00846500" w:rsidRPr="00846500" w:rsidTr="00846500">
        <w:tc>
          <w:tcPr>
            <w:tcW w:w="0" w:type="auto"/>
            <w:gridSpan w:val="2"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Номер и наименование объекта закупки:</w:t>
            </w:r>
          </w:p>
        </w:tc>
      </w:tr>
      <w:tr w:rsidR="00846500" w:rsidRPr="00846500" w:rsidTr="00846500"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Закупка №0133300001714000661 «Выполнение полного комплекса работ по разработке проектно-сметной документации «Строительство дошкольного учреждения на 280 мест по ул. </w:t>
            </w:r>
            <w:proofErr w:type="spell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Шувандиной</w:t>
            </w:r>
            <w:proofErr w:type="spellEnd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 в г. Иваново»»</w:t>
            </w:r>
          </w:p>
        </w:tc>
      </w:tr>
      <w:tr w:rsidR="00846500" w:rsidRPr="00846500" w:rsidTr="00846500">
        <w:tc>
          <w:tcPr>
            <w:tcW w:w="0" w:type="auto"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4780000.00 Российский рубль (четыре миллиона семьсот восемьдесят тысяч рублей ноль копеек)</w:t>
            </w:r>
          </w:p>
        </w:tc>
      </w:tr>
      <w:tr w:rsidR="00846500" w:rsidRPr="00846500" w:rsidTr="00846500">
        <w:tc>
          <w:tcPr>
            <w:tcW w:w="0" w:type="auto"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Бюджет города Иванова </w:t>
            </w:r>
          </w:p>
        </w:tc>
      </w:tr>
      <w:tr w:rsidR="00846500" w:rsidRPr="00846500" w:rsidTr="00846500">
        <w:tc>
          <w:tcPr>
            <w:tcW w:w="0" w:type="auto"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По месту нахождения Подрядчика</w:t>
            </w:r>
          </w:p>
        </w:tc>
      </w:tr>
      <w:tr w:rsidR="00846500" w:rsidRPr="00846500" w:rsidTr="00846500">
        <w:tc>
          <w:tcPr>
            <w:tcW w:w="0" w:type="auto"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Начало выполнения работ – с момента заключения контракта. 1 этап: срок окончания выполнения работ – 29.08.2014 года; 2 этап: срок окончания выполнения работ – 01.11.2014 года; 3 этап: срок окончания выполнения работ – 15.11.2014 года; 4 этап: срок окончания выполнения работ – 16.12.2014 года. </w:t>
            </w:r>
            <w:proofErr w:type="gramEnd"/>
          </w:p>
        </w:tc>
      </w:tr>
    </w:tbl>
    <w:p w:rsidR="00846500" w:rsidRPr="00846500" w:rsidRDefault="00846500" w:rsidP="00846500">
      <w:pPr>
        <w:pStyle w:val="3"/>
        <w:rPr>
          <w:sz w:val="26"/>
          <w:szCs w:val="26"/>
        </w:rPr>
      </w:pPr>
      <w:r w:rsidRPr="00846500">
        <w:rPr>
          <w:sz w:val="26"/>
          <w:szCs w:val="26"/>
        </w:rPr>
        <w:t>3. Информация о заказчике</w:t>
      </w:r>
    </w:p>
    <w:p w:rsidR="00846500" w:rsidRPr="00846500" w:rsidRDefault="00846500" w:rsidP="00846500">
      <w:pPr>
        <w:pStyle w:val="a3"/>
        <w:rPr>
          <w:sz w:val="26"/>
          <w:szCs w:val="26"/>
        </w:rPr>
      </w:pPr>
      <w:r w:rsidRPr="00846500">
        <w:rPr>
          <w:sz w:val="26"/>
          <w:szCs w:val="26"/>
          <w:u w:val="single"/>
        </w:rPr>
        <w:t>Управление капитального строительства Администрации города Иванова.</w:t>
      </w:r>
    </w:p>
    <w:p w:rsidR="00846500" w:rsidRPr="00846500" w:rsidRDefault="00846500" w:rsidP="00846500">
      <w:pPr>
        <w:pStyle w:val="3"/>
        <w:rPr>
          <w:sz w:val="26"/>
          <w:szCs w:val="26"/>
        </w:rPr>
      </w:pPr>
      <w:r w:rsidRPr="00846500">
        <w:rPr>
          <w:sz w:val="26"/>
          <w:szCs w:val="26"/>
        </w:rPr>
        <w:t>4. Информация о комиссии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6"/>
        <w:gridCol w:w="6319"/>
      </w:tblGrid>
      <w:tr w:rsidR="00846500" w:rsidRPr="00846500" w:rsidTr="00846500">
        <w:tc>
          <w:tcPr>
            <w:tcW w:w="0" w:type="auto"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Комиссия: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Конкурсная комиссия</w:t>
            </w:r>
          </w:p>
        </w:tc>
      </w:tr>
    </w:tbl>
    <w:p w:rsidR="00846500" w:rsidRPr="00846500" w:rsidRDefault="00846500" w:rsidP="00846500">
      <w:pPr>
        <w:pStyle w:val="a3"/>
        <w:rPr>
          <w:sz w:val="26"/>
          <w:szCs w:val="26"/>
        </w:rPr>
      </w:pPr>
      <w:proofErr w:type="gramStart"/>
      <w:r w:rsidRPr="00846500">
        <w:rPr>
          <w:sz w:val="26"/>
          <w:szCs w:val="26"/>
        </w:rPr>
        <w:t>На заседании комиссии по вскрытию конвертов с заявками на участие в открытом конкурсе</w:t>
      </w:r>
      <w:proofErr w:type="gramEnd"/>
      <w:r w:rsidRPr="00846500">
        <w:rPr>
          <w:sz w:val="26"/>
          <w:szCs w:val="26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6"/>
        <w:gridCol w:w="4769"/>
      </w:tblGrid>
      <w:tr w:rsidR="00846500" w:rsidRPr="00846500" w:rsidTr="00846500">
        <w:tc>
          <w:tcPr>
            <w:tcW w:w="0" w:type="auto"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Абрамова Наталья Борисовна</w:t>
            </w:r>
          </w:p>
        </w:tc>
      </w:tr>
      <w:tr w:rsidR="00846500" w:rsidRPr="00846500" w:rsidTr="00846500">
        <w:tc>
          <w:tcPr>
            <w:tcW w:w="0" w:type="auto"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Зам. председателя комиссии: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Седых Екатерина Леонидовна</w:t>
            </w:r>
          </w:p>
        </w:tc>
      </w:tr>
      <w:tr w:rsidR="00846500" w:rsidRPr="00846500" w:rsidTr="00846500">
        <w:tc>
          <w:tcPr>
            <w:tcW w:w="0" w:type="auto"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Член комиссии: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Сергеева Елена Витальевна</w:t>
            </w:r>
          </w:p>
        </w:tc>
      </w:tr>
      <w:tr w:rsidR="00846500" w:rsidRPr="00846500" w:rsidTr="00846500">
        <w:tc>
          <w:tcPr>
            <w:tcW w:w="0" w:type="auto"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Гурылева</w:t>
            </w:r>
            <w:proofErr w:type="spellEnd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Олеговна</w:t>
            </w:r>
          </w:p>
        </w:tc>
      </w:tr>
    </w:tbl>
    <w:p w:rsidR="00846500" w:rsidRPr="00846500" w:rsidRDefault="00846500" w:rsidP="00846500">
      <w:pPr>
        <w:pStyle w:val="a3"/>
        <w:rPr>
          <w:sz w:val="26"/>
          <w:szCs w:val="26"/>
        </w:rPr>
      </w:pPr>
      <w:r w:rsidRPr="00846500">
        <w:rPr>
          <w:sz w:val="26"/>
          <w:szCs w:val="26"/>
        </w:rPr>
        <w:t xml:space="preserve">Количество присутствовавших членов комиссии: </w:t>
      </w:r>
      <w:r w:rsidRPr="00846500">
        <w:rPr>
          <w:sz w:val="26"/>
          <w:szCs w:val="26"/>
          <w:u w:val="single"/>
        </w:rPr>
        <w:t>4</w:t>
      </w:r>
      <w:r w:rsidRPr="00846500">
        <w:rPr>
          <w:sz w:val="26"/>
          <w:szCs w:val="26"/>
        </w:rPr>
        <w:t xml:space="preserve"> (</w:t>
      </w:r>
      <w:r w:rsidRPr="00846500">
        <w:rPr>
          <w:sz w:val="26"/>
          <w:szCs w:val="26"/>
          <w:u w:val="single"/>
        </w:rPr>
        <w:t>четыре</w:t>
      </w:r>
      <w:r w:rsidRPr="00846500">
        <w:rPr>
          <w:sz w:val="26"/>
          <w:szCs w:val="26"/>
        </w:rPr>
        <w:t>).</w:t>
      </w:r>
    </w:p>
    <w:p w:rsidR="00846500" w:rsidRPr="00846500" w:rsidRDefault="00846500" w:rsidP="00846500">
      <w:pPr>
        <w:pStyle w:val="a3"/>
        <w:rPr>
          <w:sz w:val="26"/>
          <w:szCs w:val="26"/>
        </w:rPr>
      </w:pPr>
      <w:r w:rsidRPr="00846500">
        <w:rPr>
          <w:sz w:val="26"/>
          <w:szCs w:val="26"/>
        </w:rPr>
        <w:t xml:space="preserve">из </w:t>
      </w:r>
      <w:proofErr w:type="gramStart"/>
      <w:r w:rsidRPr="00846500">
        <w:rPr>
          <w:sz w:val="26"/>
          <w:szCs w:val="26"/>
        </w:rPr>
        <w:t>них</w:t>
      </w:r>
      <w:proofErr w:type="gramEnd"/>
      <w:r w:rsidRPr="00846500">
        <w:rPr>
          <w:sz w:val="26"/>
          <w:szCs w:val="26"/>
        </w:rPr>
        <w:t xml:space="preserve"> не голосующие члены комиссии отсутствуют.</w:t>
      </w:r>
    </w:p>
    <w:p w:rsidR="00846500" w:rsidRPr="00846500" w:rsidRDefault="00846500" w:rsidP="00846500">
      <w:pPr>
        <w:pStyle w:val="a3"/>
        <w:rPr>
          <w:sz w:val="26"/>
          <w:szCs w:val="26"/>
        </w:rPr>
      </w:pPr>
      <w:r w:rsidRPr="00846500">
        <w:rPr>
          <w:sz w:val="26"/>
          <w:szCs w:val="26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846500" w:rsidRPr="00846500" w:rsidRDefault="00846500" w:rsidP="00846500">
      <w:pPr>
        <w:pStyle w:val="3"/>
        <w:rPr>
          <w:sz w:val="26"/>
          <w:szCs w:val="26"/>
        </w:rPr>
      </w:pPr>
      <w:r w:rsidRPr="00846500">
        <w:rPr>
          <w:sz w:val="26"/>
          <w:szCs w:val="26"/>
        </w:rPr>
        <w:t xml:space="preserve">5. Заявки на участие в открытом конкурсе </w:t>
      </w:r>
    </w:p>
    <w:p w:rsidR="00846500" w:rsidRPr="00846500" w:rsidRDefault="00846500" w:rsidP="00846500">
      <w:pPr>
        <w:pStyle w:val="a3"/>
        <w:rPr>
          <w:sz w:val="26"/>
          <w:szCs w:val="26"/>
        </w:rPr>
      </w:pPr>
      <w:r w:rsidRPr="00846500">
        <w:rPr>
          <w:sz w:val="26"/>
          <w:szCs w:val="26"/>
        </w:rPr>
        <w:t>По окончании срока подачи заявок на участие в открытом конкурсе подано заявок - 3 (три) шт.</w:t>
      </w:r>
    </w:p>
    <w:tbl>
      <w:tblPr>
        <w:tblW w:w="5820" w:type="pct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1177"/>
        <w:gridCol w:w="2507"/>
        <w:gridCol w:w="1559"/>
        <w:gridCol w:w="3268"/>
        <w:gridCol w:w="1537"/>
      </w:tblGrid>
      <w:tr w:rsidR="00846500" w:rsidRPr="00846500" w:rsidTr="00846500">
        <w:tc>
          <w:tcPr>
            <w:tcW w:w="391" w:type="pct"/>
            <w:vAlign w:val="center"/>
            <w:hideMark/>
          </w:tcPr>
          <w:p w:rsidR="00846500" w:rsidRPr="00846500" w:rsidRDefault="0084650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Номер заявки</w:t>
            </w:r>
          </w:p>
        </w:tc>
        <w:tc>
          <w:tcPr>
            <w:tcW w:w="540" w:type="pct"/>
            <w:vAlign w:val="center"/>
            <w:hideMark/>
          </w:tcPr>
          <w:p w:rsidR="00846500" w:rsidRPr="00846500" w:rsidRDefault="0084650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150" w:type="pct"/>
            <w:vAlign w:val="center"/>
            <w:hideMark/>
          </w:tcPr>
          <w:p w:rsidR="00846500" w:rsidRPr="00846500" w:rsidRDefault="0084650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Информация об участнике</w:t>
            </w:r>
          </w:p>
        </w:tc>
        <w:tc>
          <w:tcPr>
            <w:tcW w:w="715" w:type="pct"/>
            <w:vAlign w:val="center"/>
            <w:hideMark/>
          </w:tcPr>
          <w:p w:rsidR="00846500" w:rsidRPr="00846500" w:rsidRDefault="0084650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Предлагаемая цена (стоимость), Российский рубль</w:t>
            </w:r>
          </w:p>
        </w:tc>
        <w:tc>
          <w:tcPr>
            <w:tcW w:w="2204" w:type="pct"/>
            <w:gridSpan w:val="2"/>
            <w:vAlign w:val="center"/>
            <w:hideMark/>
          </w:tcPr>
          <w:p w:rsidR="00846500" w:rsidRPr="00846500" w:rsidRDefault="0084650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846500" w:rsidRPr="00846500" w:rsidTr="00846500">
        <w:tc>
          <w:tcPr>
            <w:tcW w:w="391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15.07.2014 15:33</w:t>
            </w:r>
          </w:p>
        </w:tc>
        <w:tc>
          <w:tcPr>
            <w:tcW w:w="115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институт "</w:t>
            </w:r>
            <w:proofErr w:type="spell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Ивановопроект</w:t>
            </w:r>
            <w:proofErr w:type="spellEnd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" Открытое акционерное общество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ИНН: 3728023898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КПП: 370201001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153008, Российская Федерация, Ивановская обл., г. Иваново, ул. </w:t>
            </w:r>
            <w:proofErr w:type="spell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Колесанова</w:t>
            </w:r>
            <w:proofErr w:type="spellEnd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, д. 11/2</w:t>
            </w:r>
          </w:p>
        </w:tc>
        <w:tc>
          <w:tcPr>
            <w:tcW w:w="715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3630000.00</w:t>
            </w:r>
          </w:p>
        </w:tc>
        <w:tc>
          <w:tcPr>
            <w:tcW w:w="149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1. Опись документов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2. Сопроводительное письмо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3. Анкета участника открытого конкурса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4. Предложение о цене контракта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5.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gram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Выписка</w:t>
            </w:r>
            <w:proofErr w:type="gramEnd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/засвидетельствованная в нотариальном порядке копия такой выписки из единого государственного реестра юридических лиц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7. Документы, копии документов, подтверждающие полномочия лица на осуществление действий от имени участника закупки</w:t>
            </w:r>
            <w:proofErr w:type="gram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gram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proofErr w:type="gram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1 и 2 части 1 статьи 31 Закона №44-ФЗ (пункт 16 раздела I.3 «Информационная карта открытого конкурса»: - копия свидетельства, выданного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саморегулируемой организацией в соответствии с требованиями действующего законодательства о допуске к работам, оказывающим влияние на безопасность объектов капитального</w:t>
            </w:r>
            <w:proofErr w:type="gramEnd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строительства, выполнение которых является предметом муниципального контракта (работы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согласно предмету контракта)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9.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2-6 пункта 16 настоящей Информационной карты)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10. Декларация о принадлежности участника открытого конкурса к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субъектам малого предпринимательства или социально ориентированным некоммерческим организациям, установленная ч.3 ст.30 Закона 44-ФЗ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11. Копии учредительных документов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12. Документы, подтверждающие добросовестность участника открытого конкурса (в случае, предусмотренном ч.2 ст. 37 Закона №44-ФЗ)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Отсутсвует</w:t>
            </w:r>
            <w:proofErr w:type="spellEnd"/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13. Решение об одобрении или о совершении крупной сделки либо копия такого решения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14. Документы, подтверждающие внесение обеспечения заявки на участие в открытом конкурсе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15. Документ, подтверждающий квалификацию участника открытого конкурса 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16. Другие документы,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прикладываемые по усмотрению участником закупки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4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16.07.2014 09:31</w:t>
            </w:r>
          </w:p>
        </w:tc>
        <w:tc>
          <w:tcPr>
            <w:tcW w:w="115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ГражданИнвестПроект</w:t>
            </w:r>
            <w:proofErr w:type="spellEnd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" Общество с ограниченной ответственностью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ИНН: 5263089696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КПП: 526301001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606443, Нижегородская область, г. Бор, ш. </w:t>
            </w:r>
            <w:proofErr w:type="spell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Стеклозаводское</w:t>
            </w:r>
            <w:proofErr w:type="spellEnd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, территория ОАО "Эй Джи Си БСЗ", здание заводоуправления, оф.904</w:t>
            </w:r>
          </w:p>
        </w:tc>
        <w:tc>
          <w:tcPr>
            <w:tcW w:w="715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3550000.00</w:t>
            </w:r>
          </w:p>
        </w:tc>
        <w:tc>
          <w:tcPr>
            <w:tcW w:w="149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1. Опись документов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2. Сопроводительное письмо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3. Анкета участника открытого конкурса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4. Предложение о цене контракта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5.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gram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Выписка</w:t>
            </w:r>
            <w:proofErr w:type="gramEnd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/засвидетельствованная в нотариальном порядке копия такой выписки из единого государственного реестра юридических лиц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7. Документы, копии документов, подтверждающие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полномочия лица на осуществление действий от имени участника закупки</w:t>
            </w:r>
            <w:proofErr w:type="gram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gram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proofErr w:type="gram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1 и 2 части 1 статьи 31 Закона №44-ФЗ (пункт 16 раздела I.3 «Информационная карта открытого конкурса»: - копия свидетельства, выданного саморегулируемой организацией в соответствии с требованиями действующего законодательства о допуске к работам, оказывающим влияние на безопасность объектов капитального</w:t>
            </w:r>
            <w:proofErr w:type="gramEnd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строительства, выполнение которых является предметом муниципального контракта (работы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(генеральным проектировщиком) согласно предмету контракта)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9.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2-6 пункта 16 настоящей Информационной карты)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10.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44-ФЗ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11. Копии учредительных документов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12. Документы, подтверждающие добросовестность участника открытого конкурса (в случае, предусмотренном ч.2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ст. 37 Закона №44-ФЗ)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Отсутсвует</w:t>
            </w:r>
            <w:proofErr w:type="spellEnd"/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13. Решение об одобрении или о совершении крупной сделки либо копия такого решения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14. Документы, подтверждающие внесение обеспечения заявки на участие в открытом конкурсе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15. Документ, подтверждающий квалификацию участника открытого конкурса 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16. Другие документы, прикладываемые по усмотрению участником закупки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16.07.2014 09:51</w:t>
            </w:r>
          </w:p>
        </w:tc>
        <w:tc>
          <w:tcPr>
            <w:tcW w:w="115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ПрофПроект</w:t>
            </w:r>
            <w:proofErr w:type="spellEnd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" Общество с ограниченной ответственностью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ИНН: 3702615233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КПП: 370201001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153000, Российская Федерация, Ивановская область, г. Иваново, ул. Станко, д. 20, оф. 18,19</w:t>
            </w:r>
          </w:p>
        </w:tc>
        <w:tc>
          <w:tcPr>
            <w:tcW w:w="715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4779999.00</w:t>
            </w:r>
          </w:p>
        </w:tc>
        <w:tc>
          <w:tcPr>
            <w:tcW w:w="149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1. Опись документов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2. Сопроводительное письмо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3. Анкета участника открытого конкурса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4. Предложение о цене контракта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(предоставление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5.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gram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Выписка</w:t>
            </w:r>
            <w:proofErr w:type="gramEnd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/засвидетельствованная в нотариальном порядке копия такой выписки из единого государственного реестра юридических лиц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7. Документы, копии документов, подтверждающие полномочия лица на осуществление действий от имени участника закупки</w:t>
            </w:r>
            <w:proofErr w:type="gram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gram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proofErr w:type="gram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1 и 2 части 1 статьи 31 Закона №44-ФЗ (пункт 16 раздела I.3 «Информационная карта открытого конкурса»: -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копия свидетельства, выданного саморегулируемой организацией в соответствии с требованиями действующего законодательства о допуске к работам, оказывающим влияние на безопасность объектов капитального</w:t>
            </w:r>
            <w:proofErr w:type="gramEnd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строительства, выполнение которых является предметом муниципального контракта (работы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согласно предмету контракта)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9.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2-6 пункта 16 настоящей Информационной карты)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10. Декларация о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44-ФЗ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11. Копии учредительных документов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12. Документы, подтверждающие добросовестность участника открытого конкурса (в случае, предусмотренном ч.2 ст. 37 Закона №44-ФЗ)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Отсутсвует</w:t>
            </w:r>
            <w:proofErr w:type="spellEnd"/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13. Решение об одобрении или о совершении крупной сделки либо копия такого решения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14. Документы, подтверждающие внесение обеспечения заявки на участие в открытом конкурсе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br/>
              <w:t>(предоставление обязательно)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15. Документ, подтверждающий квалификацию участника </w:t>
            </w:r>
            <w:r w:rsidRPr="00846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открытого конкурса 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Присутствует</w:t>
            </w:r>
          </w:p>
        </w:tc>
      </w:tr>
      <w:tr w:rsidR="00846500" w:rsidRPr="00846500" w:rsidTr="00846500">
        <w:tc>
          <w:tcPr>
            <w:tcW w:w="391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16. Другие документы, прикладываемые по усмотрению участником закупки</w:t>
            </w:r>
          </w:p>
        </w:tc>
        <w:tc>
          <w:tcPr>
            <w:tcW w:w="705" w:type="pct"/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Присутствует</w:t>
            </w:r>
          </w:p>
        </w:tc>
      </w:tr>
    </w:tbl>
    <w:p w:rsidR="00846500" w:rsidRPr="00846500" w:rsidRDefault="00846500" w:rsidP="00D84FB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6500" w:rsidRPr="00846500" w:rsidRDefault="00846500" w:rsidP="00D84FB6">
      <w:pPr>
        <w:pStyle w:val="3"/>
        <w:spacing w:before="0" w:beforeAutospacing="0" w:after="0" w:afterAutospacing="0"/>
        <w:rPr>
          <w:sz w:val="26"/>
          <w:szCs w:val="26"/>
        </w:rPr>
      </w:pPr>
      <w:r w:rsidRPr="00846500">
        <w:rPr>
          <w:sz w:val="26"/>
          <w:szCs w:val="26"/>
        </w:rPr>
        <w:t>6. Решение комиссии</w:t>
      </w:r>
    </w:p>
    <w:p w:rsidR="00846500" w:rsidRPr="00846500" w:rsidRDefault="00846500" w:rsidP="00D84FB6">
      <w:pPr>
        <w:pStyle w:val="a3"/>
        <w:spacing w:before="0" w:beforeAutospacing="0" w:after="0" w:afterAutospacing="0"/>
        <w:rPr>
          <w:sz w:val="26"/>
          <w:szCs w:val="26"/>
        </w:rPr>
      </w:pPr>
      <w:r w:rsidRPr="00846500">
        <w:rPr>
          <w:sz w:val="26"/>
          <w:szCs w:val="26"/>
        </w:rPr>
        <w:t>Конкурсная комиссия проведет рассмотрение и оценку заявок на участие в открытом конкурсе в срок, указанный в конкурсной документации.</w:t>
      </w:r>
    </w:p>
    <w:p w:rsidR="00846500" w:rsidRPr="00846500" w:rsidRDefault="00846500" w:rsidP="00D84FB6">
      <w:pPr>
        <w:pStyle w:val="3"/>
        <w:spacing w:before="0" w:beforeAutospacing="0" w:after="0" w:afterAutospacing="0"/>
        <w:rPr>
          <w:sz w:val="26"/>
          <w:szCs w:val="26"/>
        </w:rPr>
      </w:pPr>
      <w:r w:rsidRPr="00846500">
        <w:rPr>
          <w:sz w:val="26"/>
          <w:szCs w:val="26"/>
        </w:rPr>
        <w:t>7. Публикация и хранение протокола</w:t>
      </w:r>
    </w:p>
    <w:p w:rsidR="00846500" w:rsidRPr="00846500" w:rsidRDefault="00846500" w:rsidP="00D84FB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46500">
        <w:rPr>
          <w:rFonts w:ascii="Times New Roman" w:hAnsi="Times New Roman" w:cs="Times New Roman"/>
          <w:sz w:val="26"/>
          <w:szCs w:val="26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46500" w:rsidRPr="00846500" w:rsidRDefault="00846500" w:rsidP="00D84FB6">
      <w:pPr>
        <w:pStyle w:val="3"/>
        <w:spacing w:before="0" w:beforeAutospacing="0" w:after="0" w:afterAutospacing="0"/>
        <w:rPr>
          <w:sz w:val="26"/>
          <w:szCs w:val="26"/>
        </w:rPr>
      </w:pPr>
      <w:r w:rsidRPr="00846500">
        <w:rPr>
          <w:sz w:val="26"/>
          <w:szCs w:val="26"/>
        </w:rPr>
        <w:t>8. Приложения к Протоколу</w:t>
      </w:r>
    </w:p>
    <w:p w:rsidR="00846500" w:rsidRPr="00846500" w:rsidRDefault="00846500" w:rsidP="00D84FB6">
      <w:pPr>
        <w:pStyle w:val="a3"/>
        <w:spacing w:before="0" w:beforeAutospacing="0" w:after="0" w:afterAutospacing="0"/>
        <w:rPr>
          <w:sz w:val="26"/>
          <w:szCs w:val="26"/>
        </w:rPr>
      </w:pPr>
      <w:r w:rsidRPr="00846500">
        <w:rPr>
          <w:sz w:val="26"/>
          <w:szCs w:val="26"/>
        </w:rPr>
        <w:t xml:space="preserve">К протоколу прилагаются и являются его неотъемлемой частью: </w:t>
      </w:r>
    </w:p>
    <w:p w:rsidR="00846500" w:rsidRPr="00846500" w:rsidRDefault="00846500" w:rsidP="00846500">
      <w:pPr>
        <w:pStyle w:val="a3"/>
        <w:rPr>
          <w:sz w:val="26"/>
          <w:szCs w:val="26"/>
        </w:rPr>
      </w:pPr>
      <w:r w:rsidRPr="00846500">
        <w:rPr>
          <w:sz w:val="26"/>
          <w:szCs w:val="26"/>
        </w:rPr>
        <w:t>1. Условия исполнения контракта, указанные в заявках на участие в открытом конкурсе ____</w:t>
      </w:r>
      <w:proofErr w:type="gramStart"/>
      <w:r w:rsidRPr="00846500">
        <w:rPr>
          <w:sz w:val="26"/>
          <w:szCs w:val="26"/>
        </w:rPr>
        <w:t>л</w:t>
      </w:r>
      <w:proofErr w:type="gramEnd"/>
      <w:r w:rsidRPr="00846500">
        <w:rPr>
          <w:sz w:val="26"/>
          <w:szCs w:val="26"/>
        </w:rPr>
        <w:t xml:space="preserve">. </w:t>
      </w:r>
    </w:p>
    <w:tbl>
      <w:tblPr>
        <w:tblW w:w="4566" w:type="pct"/>
        <w:tblInd w:w="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7"/>
        <w:gridCol w:w="2807"/>
        <w:gridCol w:w="16"/>
        <w:gridCol w:w="2495"/>
      </w:tblGrid>
      <w:tr w:rsidR="00846500" w:rsidRPr="00846500" w:rsidTr="00C67B10">
        <w:trPr>
          <w:trHeight w:val="1030"/>
        </w:trPr>
        <w:tc>
          <w:tcPr>
            <w:tcW w:w="404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46500" w:rsidRPr="00846500" w:rsidRDefault="00846500" w:rsidP="00D84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46500" w:rsidRPr="00846500" w:rsidRDefault="00846500" w:rsidP="00D84FB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" w:type="dxa"/>
            <w:vAlign w:val="center"/>
            <w:hideMark/>
          </w:tcPr>
          <w:p w:rsidR="00846500" w:rsidRPr="00846500" w:rsidRDefault="00846500" w:rsidP="00D84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46500" w:rsidRPr="00846500" w:rsidRDefault="00846500" w:rsidP="00D84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Абрамова Наталья Борисовна</w:t>
            </w:r>
          </w:p>
        </w:tc>
      </w:tr>
      <w:tr w:rsidR="00846500" w:rsidRPr="00846500" w:rsidTr="00C67B10">
        <w:trPr>
          <w:trHeight w:val="359"/>
        </w:trPr>
        <w:tc>
          <w:tcPr>
            <w:tcW w:w="4047" w:type="dxa"/>
            <w:vAlign w:val="center"/>
            <w:hideMark/>
          </w:tcPr>
          <w:p w:rsidR="00846500" w:rsidRPr="00846500" w:rsidRDefault="00846500" w:rsidP="00D84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  <w:hideMark/>
          </w:tcPr>
          <w:p w:rsidR="00846500" w:rsidRPr="00846500" w:rsidRDefault="00846500" w:rsidP="00D84FB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16" w:type="dxa"/>
            <w:vAlign w:val="center"/>
            <w:hideMark/>
          </w:tcPr>
          <w:p w:rsidR="00846500" w:rsidRPr="00846500" w:rsidRDefault="00846500" w:rsidP="00D84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vAlign w:val="center"/>
            <w:hideMark/>
          </w:tcPr>
          <w:p w:rsidR="00846500" w:rsidRPr="00846500" w:rsidRDefault="00846500" w:rsidP="00D84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500" w:rsidRPr="00846500" w:rsidTr="00C67B10">
        <w:trPr>
          <w:trHeight w:val="918"/>
        </w:trPr>
        <w:tc>
          <w:tcPr>
            <w:tcW w:w="404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46500" w:rsidRPr="00846500" w:rsidRDefault="00846500" w:rsidP="00D84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46500" w:rsidRPr="00846500" w:rsidRDefault="00846500" w:rsidP="00D84FB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" w:type="dxa"/>
            <w:vAlign w:val="center"/>
            <w:hideMark/>
          </w:tcPr>
          <w:p w:rsidR="00846500" w:rsidRPr="00846500" w:rsidRDefault="00846500" w:rsidP="00D84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46500" w:rsidRPr="00846500" w:rsidRDefault="00846500" w:rsidP="00D84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Седых Екатерина Леонидовна</w:t>
            </w:r>
          </w:p>
        </w:tc>
      </w:tr>
      <w:tr w:rsidR="00846500" w:rsidRPr="00846500" w:rsidTr="00C67B10">
        <w:tc>
          <w:tcPr>
            <w:tcW w:w="4047" w:type="dxa"/>
            <w:vAlign w:val="center"/>
            <w:hideMark/>
          </w:tcPr>
          <w:p w:rsidR="00846500" w:rsidRPr="00846500" w:rsidRDefault="00846500" w:rsidP="00D84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  <w:hideMark/>
          </w:tcPr>
          <w:p w:rsidR="00846500" w:rsidRPr="00846500" w:rsidRDefault="00846500" w:rsidP="00D84FB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16" w:type="dxa"/>
            <w:vAlign w:val="center"/>
            <w:hideMark/>
          </w:tcPr>
          <w:p w:rsidR="00846500" w:rsidRPr="00846500" w:rsidRDefault="00846500" w:rsidP="00D84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vAlign w:val="center"/>
            <w:hideMark/>
          </w:tcPr>
          <w:p w:rsidR="00846500" w:rsidRPr="00846500" w:rsidRDefault="00846500" w:rsidP="00D84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500" w:rsidRPr="00846500" w:rsidTr="00C67B10">
        <w:tc>
          <w:tcPr>
            <w:tcW w:w="404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46500" w:rsidRPr="00846500" w:rsidRDefault="00846500" w:rsidP="00D84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46500" w:rsidRPr="00846500" w:rsidRDefault="00846500" w:rsidP="00D84FB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" w:type="dxa"/>
            <w:vAlign w:val="center"/>
            <w:hideMark/>
          </w:tcPr>
          <w:p w:rsidR="00846500" w:rsidRPr="00846500" w:rsidRDefault="00846500" w:rsidP="00D84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46500" w:rsidRPr="00846500" w:rsidRDefault="00846500" w:rsidP="00D84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Сергеева Елена Витальевна</w:t>
            </w:r>
          </w:p>
        </w:tc>
      </w:tr>
      <w:tr w:rsidR="00846500" w:rsidRPr="00846500" w:rsidTr="00C67B10">
        <w:tc>
          <w:tcPr>
            <w:tcW w:w="4047" w:type="dxa"/>
            <w:vAlign w:val="center"/>
            <w:hideMark/>
          </w:tcPr>
          <w:p w:rsidR="00846500" w:rsidRPr="00846500" w:rsidRDefault="00846500" w:rsidP="00D84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  <w:hideMark/>
          </w:tcPr>
          <w:p w:rsidR="00846500" w:rsidRPr="00846500" w:rsidRDefault="00846500" w:rsidP="00D84FB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16" w:type="dxa"/>
            <w:vAlign w:val="center"/>
            <w:hideMark/>
          </w:tcPr>
          <w:p w:rsidR="00846500" w:rsidRPr="00846500" w:rsidRDefault="00846500" w:rsidP="00D84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vAlign w:val="center"/>
            <w:hideMark/>
          </w:tcPr>
          <w:p w:rsidR="00846500" w:rsidRPr="00846500" w:rsidRDefault="00846500" w:rsidP="00D84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500" w:rsidRPr="00846500" w:rsidTr="00C67B10">
        <w:tc>
          <w:tcPr>
            <w:tcW w:w="404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46500" w:rsidRPr="00846500" w:rsidRDefault="00846500" w:rsidP="00D84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46500" w:rsidRPr="00846500" w:rsidRDefault="00846500" w:rsidP="00D84FB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" w:type="dxa"/>
            <w:vAlign w:val="center"/>
            <w:hideMark/>
          </w:tcPr>
          <w:p w:rsidR="00846500" w:rsidRPr="00846500" w:rsidRDefault="00846500" w:rsidP="00D84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46500" w:rsidRPr="00846500" w:rsidRDefault="00846500" w:rsidP="00D84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Гурылева</w:t>
            </w:r>
            <w:proofErr w:type="spellEnd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Олеговна</w:t>
            </w:r>
          </w:p>
        </w:tc>
      </w:tr>
      <w:tr w:rsidR="00846500" w:rsidRPr="00846500" w:rsidTr="00C67B10">
        <w:tc>
          <w:tcPr>
            <w:tcW w:w="4047" w:type="dxa"/>
            <w:vAlign w:val="center"/>
            <w:hideMark/>
          </w:tcPr>
          <w:p w:rsidR="00846500" w:rsidRPr="00846500" w:rsidRDefault="00846500" w:rsidP="00D84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  <w:hideMark/>
          </w:tcPr>
          <w:p w:rsidR="00846500" w:rsidRPr="00846500" w:rsidRDefault="00846500" w:rsidP="00D84FB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16" w:type="dxa"/>
            <w:vAlign w:val="center"/>
            <w:hideMark/>
          </w:tcPr>
          <w:p w:rsidR="00846500" w:rsidRPr="00846500" w:rsidRDefault="00846500" w:rsidP="00D84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vAlign w:val="center"/>
            <w:hideMark/>
          </w:tcPr>
          <w:p w:rsidR="00846500" w:rsidRPr="00846500" w:rsidRDefault="00846500" w:rsidP="00D84F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6500" w:rsidRPr="00846500" w:rsidRDefault="00D84FB6" w:rsidP="00846500">
      <w:pPr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46500" w:rsidRPr="00846500" w:rsidTr="00846500">
        <w:tc>
          <w:tcPr>
            <w:tcW w:w="2500" w:type="pct"/>
            <w:vAlign w:val="center"/>
            <w:hideMark/>
          </w:tcPr>
          <w:p w:rsidR="00846500" w:rsidRPr="00846500" w:rsidRDefault="0084650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0" w:type="pct"/>
            <w:vAlign w:val="center"/>
            <w:hideMark/>
          </w:tcPr>
          <w:p w:rsidR="00846500" w:rsidRPr="00846500" w:rsidRDefault="0084650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46500" w:rsidRPr="00846500" w:rsidTr="00846500">
        <w:tc>
          <w:tcPr>
            <w:tcW w:w="0" w:type="auto"/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C67B10" w:rsidRDefault="00C67B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7B10" w:rsidRDefault="00C67B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7B10" w:rsidRDefault="00C67B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      </w:r>
          </w:p>
        </w:tc>
      </w:tr>
    </w:tbl>
    <w:p w:rsidR="00846500" w:rsidRPr="00846500" w:rsidRDefault="00846500" w:rsidP="0084650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6500" w:rsidRPr="00846500" w:rsidRDefault="00846500" w:rsidP="00846500">
      <w:pPr>
        <w:pStyle w:val="3"/>
        <w:jc w:val="center"/>
        <w:rPr>
          <w:sz w:val="26"/>
          <w:szCs w:val="26"/>
        </w:rPr>
      </w:pPr>
      <w:r w:rsidRPr="00846500">
        <w:rPr>
          <w:sz w:val="26"/>
          <w:szCs w:val="26"/>
        </w:rPr>
        <w:t>Условия исполнения контракта, указанные в заявках на участие в открытом конкурсе</w:t>
      </w:r>
    </w:p>
    <w:p w:rsidR="00846500" w:rsidRPr="00846500" w:rsidRDefault="00846500" w:rsidP="00846500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846500">
        <w:rPr>
          <w:rFonts w:ascii="Times New Roman" w:hAnsi="Times New Roman" w:cs="Times New Roman"/>
          <w:sz w:val="26"/>
          <w:szCs w:val="26"/>
        </w:rPr>
        <w:br/>
        <w:t>По окончании срока подачи заявок на участие в открытом конкурсе подано заявок - 3 (три) шт.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3742"/>
        <w:gridCol w:w="4678"/>
      </w:tblGrid>
      <w:tr w:rsidR="00846500" w:rsidRPr="00846500" w:rsidTr="00846500">
        <w:tc>
          <w:tcPr>
            <w:tcW w:w="500" w:type="pct"/>
            <w:vAlign w:val="center"/>
            <w:hideMark/>
          </w:tcPr>
          <w:p w:rsidR="00846500" w:rsidRPr="00846500" w:rsidRDefault="0084650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846500" w:rsidRPr="00846500" w:rsidRDefault="0084650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846500" w:rsidRPr="00846500" w:rsidRDefault="0084650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Условия исполнения контракта</w:t>
            </w:r>
          </w:p>
        </w:tc>
      </w:tr>
      <w:tr w:rsidR="00846500" w:rsidRPr="00846500" w:rsidTr="0084650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институт "</w:t>
            </w:r>
            <w:proofErr w:type="spell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Ивановопроект</w:t>
            </w:r>
            <w:proofErr w:type="spellEnd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846500" w:rsidRPr="00846500">
              <w:tc>
                <w:tcPr>
                  <w:tcW w:w="0" w:type="auto"/>
                  <w:vAlign w:val="center"/>
                  <w:hideMark/>
                </w:tcPr>
                <w:p w:rsidR="00846500" w:rsidRPr="00846500" w:rsidRDefault="00846500">
                  <w:pPr>
                    <w:spacing w:after="24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650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Цена контракта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Значимость критерия оценки: 60.00%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Предложение участника: 3630000.00 Российский рубль</w:t>
                  </w:r>
                </w:p>
              </w:tc>
            </w:tr>
            <w:tr w:rsidR="00846500" w:rsidRPr="00846500">
              <w:tc>
                <w:tcPr>
                  <w:tcW w:w="0" w:type="auto"/>
                  <w:vAlign w:val="center"/>
                  <w:hideMark/>
                </w:tcPr>
                <w:p w:rsidR="00846500" w:rsidRPr="00846500" w:rsidRDefault="00846500" w:rsidP="006021E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84650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Значимость критерия оценки: 40%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8465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Показатели критерия оценки: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8465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1 Наличие у участника закупки опыта успешного выполнения работ, </w:t>
                  </w:r>
                  <w:r w:rsidRPr="008465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lastRenderedPageBreak/>
                    <w:t>аналогичных объекту закупки открытого конкурса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Значимость</w:t>
                  </w:r>
                  <w:proofErr w:type="gramEnd"/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показателя: 30%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Предельное значение: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Предложение участника: 18.0000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Информация о предложении участника: Указана информация по 18 контрактам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8465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2 Деловая репутация участника закупки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Значимость показателя: 20%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Предельное значение: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Предложение участника: 2</w:t>
                  </w:r>
                  <w:r w:rsidR="006021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t>.0000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Информация о предложении участника: Указана информация по 23 отзывам, благодарностям и т.д.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8465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Значимость показателя: 50%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Предельное значение: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Предложение участника: 51.0000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Информация о предложении участника: Указана информация по 51 сотруднику </w:t>
                  </w:r>
                </w:p>
              </w:tc>
            </w:tr>
          </w:tbl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500" w:rsidRPr="00846500" w:rsidTr="0084650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ГражданИнвестПроект</w:t>
            </w:r>
            <w:proofErr w:type="spellEnd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846500" w:rsidRPr="00846500">
              <w:tc>
                <w:tcPr>
                  <w:tcW w:w="0" w:type="auto"/>
                  <w:vAlign w:val="center"/>
                  <w:hideMark/>
                </w:tcPr>
                <w:p w:rsidR="00846500" w:rsidRPr="00846500" w:rsidRDefault="00846500">
                  <w:pPr>
                    <w:spacing w:after="24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650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Цена контракта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Значимость критерия оценки: 60.00%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Предложение участника: 3550000.00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Российский рубль</w:t>
                  </w:r>
                </w:p>
              </w:tc>
            </w:tr>
            <w:tr w:rsidR="00846500" w:rsidRPr="00846500">
              <w:tc>
                <w:tcPr>
                  <w:tcW w:w="0" w:type="auto"/>
                  <w:vAlign w:val="center"/>
                  <w:hideMark/>
                </w:tcPr>
                <w:p w:rsidR="00846500" w:rsidRPr="00846500" w:rsidRDefault="00846500" w:rsidP="0084650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84650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lastRenderedPageBreak/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Значимость критерия оценки: 40%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8465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Показатели критерия оценки: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8465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1 Наличие у участника закупки опыта успешного выполнения работ, аналогичных объекту закупки открытого конкурса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Значимость</w:t>
                  </w:r>
                  <w:proofErr w:type="gramEnd"/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показателя: 30%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Предельное значение: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Предложение участника: 15.0000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Информация о предложении участника: Указана информация по 15 контрактам, договорам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8465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2 Деловая репутация участника закупки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Значимость показателя: 20%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Предельное значение: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Предложение участника: 3.0000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Информация о предложении участника: Указана информация по 3 отзывам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8465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3 Обеспеченность участника закупки трудовыми ресурсами (обеспеченность квалифицированными кадрами для </w:t>
                  </w:r>
                  <w:r w:rsidRPr="008465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lastRenderedPageBreak/>
                    <w:t>исполнения условий контракта)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Значимость показателя: 50%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Предельное значение: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Лучшим условием исполнения контракта по критерию оценки (показателю) является наибольшее значение критерия (показа</w:t>
                  </w:r>
                  <w:r w:rsidR="00D144E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теля) </w:t>
                  </w:r>
                  <w:r w:rsidR="00D144E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Предложение участника: 13</w:t>
                  </w:r>
                  <w:bookmarkStart w:id="0" w:name="_GoBack"/>
                  <w:bookmarkEnd w:id="0"/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t>.0000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Информация о предложении участника: Указана информация по 13 сотрудникам </w:t>
                  </w:r>
                </w:p>
              </w:tc>
            </w:tr>
          </w:tbl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500" w:rsidRPr="00846500" w:rsidTr="0084650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6500" w:rsidRPr="00846500" w:rsidRDefault="00846500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ПрофПроект</w:t>
            </w:r>
            <w:proofErr w:type="spellEnd"/>
            <w:r w:rsidRPr="0084650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846500" w:rsidRPr="00846500">
              <w:tc>
                <w:tcPr>
                  <w:tcW w:w="0" w:type="auto"/>
                  <w:vAlign w:val="center"/>
                  <w:hideMark/>
                </w:tcPr>
                <w:p w:rsidR="00846500" w:rsidRPr="00846500" w:rsidRDefault="00846500">
                  <w:pPr>
                    <w:spacing w:after="24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650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Цена контракта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Значимость критерия оценки: 60.00%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Предложение участника: 4779999.00 Российский рубль</w:t>
                  </w:r>
                </w:p>
              </w:tc>
            </w:tr>
            <w:tr w:rsidR="00846500" w:rsidRPr="00846500">
              <w:tc>
                <w:tcPr>
                  <w:tcW w:w="0" w:type="auto"/>
                  <w:vAlign w:val="center"/>
                  <w:hideMark/>
                </w:tcPr>
                <w:p w:rsidR="00846500" w:rsidRPr="00846500" w:rsidRDefault="00846500" w:rsidP="0084650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84650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Значимость критерия оценки: 40%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8465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Показатели критерия оценки: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8465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1 Наличие у участника закупки опыта успешного выполнения работ, аналогичных объекту закупки открытого конкурса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Значимость</w:t>
                  </w:r>
                  <w:proofErr w:type="gramEnd"/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показателя: 30%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Предельное значение: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Предложение участника: 16.0000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Информация о предложении участника: Указана информация по 16 контрактам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8465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2 Деловая репутация участника </w:t>
                  </w:r>
                  <w:r w:rsidRPr="008465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lastRenderedPageBreak/>
                    <w:t>закупки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Значимость показателя: 20%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Предельное значение: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Предложение участника: 16.0000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Информация о предложении участника: Указана информация по 16 отзывам, благодарственным письмам и т. д.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8465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Значимость показателя: 50%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Предельное значение: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Предложение участника: 47.0000</w:t>
                  </w:r>
                  <w:r w:rsidRPr="0084650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Информация о предложении участника: указана информация по 47 сотрудникам </w:t>
                  </w:r>
                </w:p>
              </w:tc>
            </w:tr>
          </w:tbl>
          <w:p w:rsidR="00846500" w:rsidRPr="00846500" w:rsidRDefault="008465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46C7" w:rsidRPr="00846500" w:rsidRDefault="000D46C7" w:rsidP="00846500">
      <w:pPr>
        <w:rPr>
          <w:rFonts w:ascii="Times New Roman" w:hAnsi="Times New Roman" w:cs="Times New Roman"/>
          <w:sz w:val="26"/>
          <w:szCs w:val="26"/>
        </w:rPr>
      </w:pPr>
    </w:p>
    <w:sectPr w:rsidR="000D46C7" w:rsidRPr="0084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C8"/>
    <w:rsid w:val="000D46C7"/>
    <w:rsid w:val="00177E9F"/>
    <w:rsid w:val="00210CCC"/>
    <w:rsid w:val="004B66C8"/>
    <w:rsid w:val="005A25D3"/>
    <w:rsid w:val="006021EF"/>
    <w:rsid w:val="007C4043"/>
    <w:rsid w:val="00846500"/>
    <w:rsid w:val="00B937A6"/>
    <w:rsid w:val="00C67B10"/>
    <w:rsid w:val="00D144E0"/>
    <w:rsid w:val="00D8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2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25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5A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5A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A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17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17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E9F"/>
    <w:rPr>
      <w:rFonts w:ascii="Tahoma" w:hAnsi="Tahoma" w:cs="Tahoma"/>
      <w:sz w:val="16"/>
      <w:szCs w:val="16"/>
    </w:rPr>
  </w:style>
  <w:style w:type="paragraph" w:customStyle="1" w:styleId="31">
    <w:name w:val="Название3"/>
    <w:basedOn w:val="a"/>
    <w:rsid w:val="0084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Подзаголовок3"/>
    <w:basedOn w:val="a"/>
    <w:rsid w:val="0084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2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25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5A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5A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A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17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17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E9F"/>
    <w:rPr>
      <w:rFonts w:ascii="Tahoma" w:hAnsi="Tahoma" w:cs="Tahoma"/>
      <w:sz w:val="16"/>
      <w:szCs w:val="16"/>
    </w:rPr>
  </w:style>
  <w:style w:type="paragraph" w:customStyle="1" w:styleId="31">
    <w:name w:val="Название3"/>
    <w:basedOn w:val="a"/>
    <w:rsid w:val="0084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Подзаголовок3"/>
    <w:basedOn w:val="a"/>
    <w:rsid w:val="0084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3907">
          <w:marLeft w:val="0"/>
          <w:marRight w:val="0"/>
          <w:marTop w:val="2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4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1543">
          <w:marLeft w:val="0"/>
          <w:marRight w:val="0"/>
          <w:marTop w:val="9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19804">
          <w:marLeft w:val="0"/>
          <w:marRight w:val="0"/>
          <w:marTop w:val="2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12</cp:revision>
  <cp:lastPrinted>2014-07-17T12:44:00Z</cp:lastPrinted>
  <dcterms:created xsi:type="dcterms:W3CDTF">2014-07-16T13:16:00Z</dcterms:created>
  <dcterms:modified xsi:type="dcterms:W3CDTF">2014-07-17T13:22:00Z</dcterms:modified>
</cp:coreProperties>
</file>