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FB" w:rsidRPr="00BF4EFB" w:rsidRDefault="00BF4EFB" w:rsidP="00BF4E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BF4EFB" w:rsidRPr="00BF4EFB" w:rsidRDefault="00BF4EFB" w:rsidP="00BF4E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22.08.2014 для закупки №0133300001714000911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816"/>
        <w:gridCol w:w="2182"/>
        <w:gridCol w:w="2666"/>
      </w:tblGrid>
      <w:tr w:rsidR="00BF4EFB" w:rsidRPr="00BF4EFB" w:rsidTr="00BF4EFB">
        <w:tc>
          <w:tcPr>
            <w:tcW w:w="2727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4EFB" w:rsidRPr="00BF4EFB" w:rsidTr="00BF4EFB">
        <w:trPr>
          <w:trHeight w:val="757"/>
        </w:trPr>
        <w:tc>
          <w:tcPr>
            <w:tcW w:w="2727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1023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2014</w:t>
            </w:r>
          </w:p>
        </w:tc>
      </w:tr>
      <w:tr w:rsidR="00BF4EFB" w:rsidRPr="00BF4EFB" w:rsidTr="00BF4EFB">
        <w:tc>
          <w:tcPr>
            <w:tcW w:w="2727" w:type="pct"/>
            <w:vAlign w:val="center"/>
            <w:hideMark/>
          </w:tcPr>
          <w:p w:rsidR="00BF4EFB" w:rsidRPr="00BF4EFB" w:rsidRDefault="00BF4EFB" w:rsidP="00BF4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1023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EFB" w:rsidRPr="00BF4EFB" w:rsidRDefault="00BF4EFB" w:rsidP="00BF4E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F4EFB" w:rsidRPr="00BF4EFB" w:rsidRDefault="00BF4EFB" w:rsidP="00BF4E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F4EFB" w:rsidRPr="00BF4EFB" w:rsidRDefault="00BF4EFB" w:rsidP="00BF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BF4EFB" w:rsidRPr="00BF4EFB" w:rsidRDefault="00BF4EFB" w:rsidP="00BF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01.08.2014 №0133300001714000911).</w:t>
      </w:r>
    </w:p>
    <w:p w:rsidR="00BF4EFB" w:rsidRPr="00BF4EFB" w:rsidRDefault="00BF4EFB" w:rsidP="00BF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22 августа 2014 года в 11:00 (по местному времени) по адресу Российская Федерация, 153000, Ивановская </w:t>
      </w:r>
      <w:proofErr w:type="spellStart"/>
      <w:proofErr w:type="gramStart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BF4EFB" w:rsidRPr="00BF4EFB" w:rsidRDefault="00BF4EFB" w:rsidP="00BF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BF4EFB" w:rsidRPr="00BF4EFB" w:rsidRDefault="00BF4EFB" w:rsidP="00BF4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BF4EFB" w:rsidRPr="00BF4EFB" w:rsidRDefault="00BF4EFB" w:rsidP="00BF4EF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BF4EFB" w:rsidRPr="00BF4EFB" w:rsidRDefault="00BF4EFB" w:rsidP="00BF4EF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BF4EFB" w:rsidRPr="00BF4EFB" w:rsidRDefault="00BF4EFB" w:rsidP="00BF4EF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BF4EFB" w:rsidRPr="00BF4EFB" w:rsidRDefault="00BF4EFB" w:rsidP="00BF4EF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информации и документов, предусмотренных конкурсной документацией;</w:t>
      </w:r>
    </w:p>
    <w:p w:rsidR="00BF4EFB" w:rsidRPr="00BF4EFB" w:rsidRDefault="00BF4EFB" w:rsidP="00BF4EF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FB" w:rsidRPr="00BF4EFB" w:rsidRDefault="00BF4EFB" w:rsidP="00BF4E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Существенные условия контракта</w:t>
      </w:r>
    </w:p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669"/>
      </w:tblGrid>
      <w:tr w:rsidR="00BF4EFB" w:rsidRPr="00BF4EFB" w:rsidTr="00BF4EFB">
        <w:tc>
          <w:tcPr>
            <w:tcW w:w="1690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3310" w:type="pct"/>
            <w:vAlign w:val="center"/>
            <w:hideMark/>
          </w:tcPr>
          <w:p w:rsidR="00BF4EFB" w:rsidRPr="00BF4EFB" w:rsidRDefault="00BF4EFB" w:rsidP="00C37F3D">
            <w:pPr>
              <w:spacing w:after="0" w:line="240" w:lineRule="auto"/>
              <w:ind w:left="144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№0133300001714000911 «Разработка проектно-сметной документации «Организация канализированного пересечения в одном уровне со светофорным регулированием улиц </w:t>
            </w:r>
            <w:proofErr w:type="spellStart"/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Лежневской</w:t>
            </w:r>
            <w:proofErr w:type="spellEnd"/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Станкостроителей и проспекта Строителей»»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667"/>
      </w:tblGrid>
      <w:tr w:rsidR="00BF4EFB" w:rsidRPr="00BF4EFB" w:rsidTr="00BF4EFB">
        <w:tc>
          <w:tcPr>
            <w:tcW w:w="1691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309" w:type="pct"/>
            <w:vAlign w:val="center"/>
            <w:hideMark/>
          </w:tcPr>
          <w:p w:rsidR="00BF4EFB" w:rsidRPr="00BF4EFB" w:rsidRDefault="00BF4EFB" w:rsidP="00C37F3D">
            <w:pPr>
              <w:spacing w:after="0" w:line="240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543425.00 Российский рубль (пятьсот сорок три тысячи четыреста двадцать пять рублей ноль копеек)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667"/>
      </w:tblGrid>
      <w:tr w:rsidR="00BF4EFB" w:rsidRPr="00BF4EFB" w:rsidTr="00BF4EFB">
        <w:tc>
          <w:tcPr>
            <w:tcW w:w="1691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3309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667"/>
      </w:tblGrid>
      <w:tr w:rsidR="00BF4EFB" w:rsidRPr="00BF4EFB" w:rsidTr="00BF4EFB">
        <w:tc>
          <w:tcPr>
            <w:tcW w:w="1691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3309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исполнителя работ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667"/>
      </w:tblGrid>
      <w:tr w:rsidR="00BF4EFB" w:rsidRPr="00BF4EFB" w:rsidTr="00BF4EFB">
        <w:tc>
          <w:tcPr>
            <w:tcW w:w="1691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3309" w:type="pct"/>
            <w:vAlign w:val="center"/>
            <w:hideMark/>
          </w:tcPr>
          <w:p w:rsidR="00BF4EFB" w:rsidRPr="00BF4EFB" w:rsidRDefault="00BF4EFB" w:rsidP="00C37F3D">
            <w:pPr>
              <w:spacing w:after="0" w:line="240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30 (тридцати) календарных дней с момента заключения контракта</w:t>
            </w:r>
          </w:p>
        </w:tc>
      </w:tr>
    </w:tbl>
    <w:p w:rsidR="00BF4EFB" w:rsidRPr="00BF4EFB" w:rsidRDefault="00BF4EFB" w:rsidP="00D213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FB" w:rsidRDefault="00BF4EFB" w:rsidP="00D21301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21301" w:rsidRPr="00BF4EFB" w:rsidRDefault="00D21301" w:rsidP="00D21301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</w:t>
      </w:r>
    </w:p>
    <w:p w:rsidR="00BF4EFB" w:rsidRPr="00BF4EFB" w:rsidRDefault="00BF4EFB" w:rsidP="00D213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F4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F4EFB" w:rsidRPr="00BF4EFB" w:rsidRDefault="00BF4EFB" w:rsidP="00D21301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BF4EFB" w:rsidRPr="00BF4EFB" w:rsidRDefault="00BF4EFB" w:rsidP="00D213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F4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  <w:r w:rsidR="004A0A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осуществлению закупок</w:t>
      </w:r>
    </w:p>
    <w:p w:rsidR="00BF4EFB" w:rsidRPr="00BF4EFB" w:rsidRDefault="00BF4EFB" w:rsidP="00D2130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5510"/>
      </w:tblGrid>
      <w:tr w:rsidR="00BF4EFB" w:rsidRPr="00BF4EFB" w:rsidTr="00BF4EFB">
        <w:tc>
          <w:tcPr>
            <w:tcW w:w="0" w:type="auto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7"/>
      </w:tblGrid>
      <w:tr w:rsidR="00BF4EFB" w:rsidRPr="00BF4EFB" w:rsidTr="00BF4EFB">
        <w:tc>
          <w:tcPr>
            <w:tcW w:w="2254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274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7"/>
      </w:tblGrid>
      <w:tr w:rsidR="00BF4EFB" w:rsidRPr="00BF4EFB" w:rsidTr="00BF4EFB">
        <w:tc>
          <w:tcPr>
            <w:tcW w:w="2254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комиссии: </w:t>
            </w:r>
          </w:p>
        </w:tc>
        <w:tc>
          <w:tcPr>
            <w:tcW w:w="274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527"/>
      </w:tblGrid>
      <w:tr w:rsidR="00BF4EFB" w:rsidRPr="00BF4EFB" w:rsidTr="00BF4EFB">
        <w:tc>
          <w:tcPr>
            <w:tcW w:w="2254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</w:t>
            </w:r>
          </w:p>
        </w:tc>
        <w:tc>
          <w:tcPr>
            <w:tcW w:w="274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</w:p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BF4EFB" w:rsidRPr="00BF4EFB" w:rsidRDefault="00BF4EFB" w:rsidP="00D2130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F4EFB" w:rsidRDefault="00BF4EFB" w:rsidP="00D21301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BF4EFB" w:rsidRDefault="00BF4EFB" w:rsidP="00D2130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D21301" w:rsidRPr="00BF4EFB" w:rsidRDefault="00D21301" w:rsidP="00D2130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135"/>
        <w:gridCol w:w="1700"/>
        <w:gridCol w:w="1418"/>
        <w:gridCol w:w="3685"/>
        <w:gridCol w:w="1422"/>
      </w:tblGrid>
      <w:tr w:rsidR="00BF4EFB" w:rsidRPr="00BF4EFB" w:rsidTr="00D21301">
        <w:trPr>
          <w:trHeight w:val="831"/>
        </w:trPr>
        <w:tc>
          <w:tcPr>
            <w:tcW w:w="354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Номер заявки</w:t>
            </w:r>
          </w:p>
        </w:tc>
        <w:tc>
          <w:tcPr>
            <w:tcW w:w="563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844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об участнике</w:t>
            </w:r>
          </w:p>
        </w:tc>
        <w:tc>
          <w:tcPr>
            <w:tcW w:w="704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535" w:type="pct"/>
            <w:gridSpan w:val="2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BF4EFB" w:rsidRPr="00BF4EFB" w:rsidTr="00D21301">
        <w:trPr>
          <w:trHeight w:val="561"/>
        </w:trPr>
        <w:tc>
          <w:tcPr>
            <w:tcW w:w="35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EFB" w:rsidRPr="00BF4EFB" w:rsidRDefault="00BF4EFB" w:rsidP="00D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EFB" w:rsidRPr="00BF4EFB" w:rsidRDefault="00BF4EFB" w:rsidP="00D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21.08.2014 09:56</w:t>
            </w:r>
          </w:p>
        </w:tc>
        <w:tc>
          <w:tcPr>
            <w:tcW w:w="84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1301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СтройКом</w:t>
            </w:r>
            <w:proofErr w:type="spellEnd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D21301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ИНН: 3702558056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="004A0AA7">
              <w:rPr>
                <w:rFonts w:ascii="Times New Roman" w:eastAsia="Times New Roman" w:hAnsi="Times New Roman" w:cs="Times New Roman"/>
                <w:lang w:eastAsia="ru-RU"/>
              </w:rPr>
              <w:t>153023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, Российская Федерация, Ивановская обл</w:t>
            </w:r>
            <w:r w:rsidR="004A0AA7">
              <w:rPr>
                <w:rFonts w:ascii="Times New Roman" w:eastAsia="Times New Roman" w:hAnsi="Times New Roman" w:cs="Times New Roman"/>
                <w:lang w:eastAsia="ru-RU"/>
              </w:rPr>
              <w:t>асть, г. Иваново, ул. Революционная, д. 20Б, оф. 1007</w:t>
            </w:r>
            <w:proofErr w:type="gramEnd"/>
          </w:p>
        </w:tc>
        <w:tc>
          <w:tcPr>
            <w:tcW w:w="704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400</w:t>
            </w:r>
            <w:r w:rsidR="00D213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1. Опись документов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 xml:space="preserve">2. Сопроводительное письмо 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3. Анкета участника открытого конкурса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4. Предложение о цене контракта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proofErr w:type="gramStart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Выписка</w:t>
            </w:r>
            <w:proofErr w:type="gramEnd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/засвидетельствованная в нотариальном порядке копия такой выписки из единого государственного реестра юридических лиц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7. Документы, копии документов, подтверждающие полномочия лица на осуществление действий от имени участника закупки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proofErr w:type="gramStart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и 2 части 1 статьи 31 Закона №44-ФЗ (пункт 16 раздела I.3 «Информационная карта открытого конкурса»: - копия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</w:t>
            </w:r>
            <w:proofErr w:type="gramEnd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строительства, выполнение которых является предметом муниципального контракта (работы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согласно 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предмету контракта) 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9.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настоящей Информационной карты)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 xml:space="preserve">10. Копии учредительных документов 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ч.2 ст. 37 Закона №44-ФЗ)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12. Решение об одобрении или о совершении крупной сделки либо копия такого решения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13. Документы, подтверждающие внесение обеспечения заявки на участие в открытом конкурсе</w:t>
            </w: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 xml:space="preserve">14. Документ, подтверждающий квалификацию участника открытого конкурса 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BF4EFB" w:rsidRPr="00BF4EFB" w:rsidTr="00D21301">
        <w:tc>
          <w:tcPr>
            <w:tcW w:w="35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BF4EFB" w:rsidRPr="00BF4EFB" w:rsidRDefault="00BF4EFB" w:rsidP="00BF4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ind w:left="141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15. Другие документы, прикладываемые по усмотрению участником закупки</w:t>
            </w:r>
          </w:p>
        </w:tc>
        <w:tc>
          <w:tcPr>
            <w:tcW w:w="706" w:type="pct"/>
            <w:vAlign w:val="center"/>
            <w:hideMark/>
          </w:tcPr>
          <w:p w:rsidR="00BF4EFB" w:rsidRPr="00BF4EFB" w:rsidRDefault="00BF4EFB" w:rsidP="00BF4EF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</w:tbl>
    <w:p w:rsidR="00BF4EFB" w:rsidRPr="00BF4EFB" w:rsidRDefault="00BF4EFB" w:rsidP="00D21301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BF4EFB" w:rsidRPr="00BF4EFB" w:rsidRDefault="00BF4EFB" w:rsidP="00D2130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проведет рассмотрение единственной заявки на участие в открытом конкурсе в срок, указанный в конкурсной документации.</w:t>
      </w:r>
    </w:p>
    <w:p w:rsidR="00BF4EFB" w:rsidRPr="00BF4EFB" w:rsidRDefault="00BF4EFB" w:rsidP="00D21301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BF4EFB" w:rsidRPr="00BF4EFB" w:rsidRDefault="00BF4EFB" w:rsidP="00D21301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F4EFB" w:rsidRPr="00BF4EFB" w:rsidRDefault="00BF4EFB" w:rsidP="00D21301">
      <w:pPr>
        <w:spacing w:before="120"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BF4EFB" w:rsidRPr="00BF4EFB" w:rsidRDefault="00BF4EFB" w:rsidP="00D213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BF4EFB" w:rsidRDefault="00D21301" w:rsidP="00D213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F4EFB"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  <w:r w:rsidR="00AD1D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BF4EFB"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</w:t>
      </w:r>
      <w:r w:rsidR="00BF4EFB"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</w:p>
    <w:p w:rsidR="00C37F3D" w:rsidRPr="00BF4EFB" w:rsidRDefault="00C37F3D" w:rsidP="00D21301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FB" w:rsidRDefault="00BF4EFB" w:rsidP="00D2130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5032"/>
        <w:gridCol w:w="281"/>
        <w:gridCol w:w="4576"/>
        <w:gridCol w:w="175"/>
      </w:tblGrid>
      <w:tr w:rsidR="006C588F" w:rsidRPr="006C588F" w:rsidTr="006C588F">
        <w:trPr>
          <w:gridAfter w:val="1"/>
          <w:wAfter w:w="175" w:type="dxa"/>
          <w:trHeight w:val="74"/>
        </w:trPr>
        <w:tc>
          <w:tcPr>
            <w:tcW w:w="5597" w:type="dxa"/>
            <w:gridSpan w:val="3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C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6C588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588F" w:rsidRPr="006C588F" w:rsidTr="006C588F">
        <w:trPr>
          <w:gridAfter w:val="1"/>
          <w:wAfter w:w="175" w:type="dxa"/>
          <w:trHeight w:val="74"/>
        </w:trPr>
        <w:tc>
          <w:tcPr>
            <w:tcW w:w="5597" w:type="dxa"/>
            <w:gridSpan w:val="3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________________/Е.Л. Седых / </w:t>
            </w:r>
          </w:p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8F" w:rsidRPr="006C588F" w:rsidTr="006C588F">
        <w:trPr>
          <w:gridAfter w:val="1"/>
          <w:wAfter w:w="175" w:type="dxa"/>
          <w:trHeight w:val="74"/>
        </w:trPr>
        <w:tc>
          <w:tcPr>
            <w:tcW w:w="5597" w:type="dxa"/>
            <w:gridSpan w:val="3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________________/Е.В. Сергеева/ </w:t>
            </w:r>
          </w:p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8F" w:rsidRPr="006C588F" w:rsidTr="006C588F">
        <w:trPr>
          <w:gridAfter w:val="1"/>
          <w:wAfter w:w="175" w:type="dxa"/>
          <w:trHeight w:val="561"/>
        </w:trPr>
        <w:tc>
          <w:tcPr>
            <w:tcW w:w="5597" w:type="dxa"/>
            <w:gridSpan w:val="3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6C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8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8F" w:rsidRPr="006C588F" w:rsidTr="006C588F">
        <w:trPr>
          <w:gridAfter w:val="1"/>
          <w:wAfter w:w="175" w:type="dxa"/>
          <w:trHeight w:val="561"/>
        </w:trPr>
        <w:tc>
          <w:tcPr>
            <w:tcW w:w="5597" w:type="dxa"/>
            <w:gridSpan w:val="3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shd w:val="clear" w:color="auto" w:fill="auto"/>
          </w:tcPr>
          <w:p w:rsidR="006C588F" w:rsidRPr="006C588F" w:rsidRDefault="006C588F" w:rsidP="006C58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FB" w:rsidRPr="00BF4EFB" w:rsidTr="006C588F">
        <w:tblPrEx>
          <w:tblCellMar>
            <w:left w:w="0" w:type="dxa"/>
            <w:right w:w="0" w:type="dxa"/>
          </w:tblCellMar>
        </w:tblPrEx>
        <w:trPr>
          <w:gridBefore w:val="1"/>
          <w:wBefore w:w="284" w:type="dxa"/>
        </w:trPr>
        <w:tc>
          <w:tcPr>
            <w:tcW w:w="5032" w:type="dxa"/>
            <w:vAlign w:val="center"/>
            <w:hideMark/>
          </w:tcPr>
          <w:p w:rsidR="00BF4EFB" w:rsidRPr="00BF4EFB" w:rsidRDefault="00BF4EFB" w:rsidP="006C58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gridSpan w:val="3"/>
            <w:vAlign w:val="center"/>
            <w:hideMark/>
          </w:tcPr>
          <w:p w:rsidR="00BF4EFB" w:rsidRPr="00BF4EFB" w:rsidRDefault="00BF4EFB" w:rsidP="006C58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22.08.2014</w:t>
            </w:r>
          </w:p>
        </w:tc>
      </w:tr>
    </w:tbl>
    <w:p w:rsidR="00BF4EFB" w:rsidRPr="00BF4EFB" w:rsidRDefault="00BF4EFB" w:rsidP="00BF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FB" w:rsidRPr="00BF4EFB" w:rsidRDefault="00BF4EFB" w:rsidP="00BF4E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BF4EFB" w:rsidRPr="00BF4EFB" w:rsidRDefault="00BF4EFB" w:rsidP="00D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880"/>
        <w:gridCol w:w="7374"/>
      </w:tblGrid>
      <w:tr w:rsidR="00D21301" w:rsidRPr="006C588F" w:rsidTr="00D21301">
        <w:tc>
          <w:tcPr>
            <w:tcW w:w="407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</w:t>
            </w:r>
          </w:p>
        </w:tc>
        <w:tc>
          <w:tcPr>
            <w:tcW w:w="933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информация об участнике</w:t>
            </w:r>
          </w:p>
        </w:tc>
        <w:tc>
          <w:tcPr>
            <w:tcW w:w="3660" w:type="pct"/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исполнения контракта по заявке</w:t>
            </w:r>
          </w:p>
        </w:tc>
      </w:tr>
      <w:tr w:rsidR="00D21301" w:rsidRPr="006C588F" w:rsidTr="004A0AA7">
        <w:trPr>
          <w:trHeight w:val="2099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EFB" w:rsidRPr="00BF4EFB" w:rsidRDefault="00BF4EFB" w:rsidP="00D213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СтройКом</w:t>
            </w:r>
            <w:proofErr w:type="spellEnd"/>
            <w:r w:rsidRPr="00BF4E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36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4"/>
            </w:tblGrid>
            <w:tr w:rsidR="00BF4EFB" w:rsidRPr="00BF4EFB">
              <w:tc>
                <w:tcPr>
                  <w:tcW w:w="0" w:type="auto"/>
                  <w:vAlign w:val="center"/>
                  <w:hideMark/>
                </w:tcPr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Цена контракта</w:t>
                  </w:r>
                </w:p>
                <w:p w:rsidR="00BF4EFB" w:rsidRPr="00BF4EFB" w:rsidRDefault="00BF4EFB" w:rsidP="006C588F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60.00%</w:t>
                  </w:r>
                </w:p>
                <w:p w:rsidR="006C588F" w:rsidRPr="006C588F" w:rsidRDefault="006C588F" w:rsidP="006C588F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</w:p>
                <w:p w:rsidR="00BF4EFB" w:rsidRPr="00BF4EFB" w:rsidRDefault="00C37F3D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6C588F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Предложение участника: 400 000,</w:t>
                  </w:r>
                  <w:r w:rsidR="00BF4EFB" w:rsidRPr="00BF4EF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00 Российский рубль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D21301" w:rsidRPr="006C588F" w:rsidRDefault="00D21301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F4EFB" w:rsidRPr="006C588F" w:rsidRDefault="00BF4EFB" w:rsidP="006C588F">
                  <w:pPr>
                    <w:spacing w:after="0" w:line="240" w:lineRule="atLeast"/>
                    <w:ind w:left="140" w:right="5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критерия оценки: 40.00%</w:t>
                  </w:r>
                </w:p>
                <w:p w:rsidR="00D21301" w:rsidRPr="00BF4EFB" w:rsidRDefault="00D21301" w:rsidP="006C588F">
                  <w:pPr>
                    <w:spacing w:after="0" w:line="240" w:lineRule="atLeast"/>
                    <w:ind w:left="140" w:right="5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Показатели критерия оценки: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C37F3D" w:rsidRPr="006C588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Наличие у участника закупки опыта успешного выполнения работ,</w:t>
                  </w:r>
                  <w:r w:rsidR="00D21301" w:rsidRPr="006C588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аналогичных объекту закупки открытого конкурса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50.00%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0.5 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Предложение участника: 47.00</w:t>
                  </w:r>
                </w:p>
                <w:p w:rsidR="00C37F3D" w:rsidRPr="006C588F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Указаны сведения по 47 (сорока семи) контрактам (договорам) 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(копии прилагаются)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C37F3D" w:rsidRPr="006C588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Деловая репутация участника закупки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20.00%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Предельное значение: 0.2 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Предложение участника: 16.00</w:t>
                  </w:r>
                </w:p>
                <w:p w:rsidR="00C37F3D" w:rsidRPr="006C588F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16 (шестнадцати) благодарственным письмам (отзывам)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(копии прилагаются)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="00C37F3D" w:rsidRPr="006C588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BF4EF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Значимость показателя: 30.00%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Предельное значение: 0.3 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BF4EFB" w:rsidRPr="00BF4EFB" w:rsidRDefault="00BF4EFB" w:rsidP="00D21301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Предложение участника: 64.00</w:t>
                  </w:r>
                </w:p>
                <w:p w:rsidR="00C37F3D" w:rsidRPr="006C588F" w:rsidRDefault="00BF4EFB" w:rsidP="00C37F3D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Указана информация по 64 (шестидесяти четырем) сотрудникам</w:t>
                  </w:r>
                </w:p>
                <w:p w:rsidR="006C588F" w:rsidRPr="00BF4EFB" w:rsidRDefault="00BF4EFB" w:rsidP="004A0AA7">
                  <w:pPr>
                    <w:spacing w:after="0" w:line="240" w:lineRule="atLeast"/>
                    <w:ind w:left="140" w:right="13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4EFB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(копии дипломов, аттестатов, удостоверений,</w:t>
                  </w:r>
                  <w:r w:rsidR="004A0AA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трудовых договоров прилагаются)</w:t>
                  </w:r>
                </w:p>
              </w:tc>
            </w:tr>
          </w:tbl>
          <w:p w:rsidR="00BF4EFB" w:rsidRPr="00BF4EFB" w:rsidRDefault="00BF4EFB" w:rsidP="00D21301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3714" w:rsidRPr="00BF4EFB" w:rsidRDefault="00193714">
      <w:pPr>
        <w:rPr>
          <w:rFonts w:ascii="Times New Roman" w:hAnsi="Times New Roman" w:cs="Times New Roman"/>
          <w:sz w:val="24"/>
          <w:szCs w:val="24"/>
        </w:rPr>
      </w:pPr>
    </w:p>
    <w:sectPr w:rsidR="00193714" w:rsidRPr="00BF4EFB" w:rsidSect="00D21301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FB"/>
    <w:rsid w:val="00193714"/>
    <w:rsid w:val="004A0AA7"/>
    <w:rsid w:val="006C588F"/>
    <w:rsid w:val="00874775"/>
    <w:rsid w:val="00AD1D69"/>
    <w:rsid w:val="00BF4EFB"/>
    <w:rsid w:val="00C37F3D"/>
    <w:rsid w:val="00D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684">
          <w:marLeft w:val="0"/>
          <w:marRight w:val="0"/>
          <w:marTop w:val="6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1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C4A9-7B2D-4559-9A5F-AF9EB934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5</cp:revision>
  <cp:lastPrinted>2014-08-25T04:55:00Z</cp:lastPrinted>
  <dcterms:created xsi:type="dcterms:W3CDTF">2014-08-22T09:41:00Z</dcterms:created>
  <dcterms:modified xsi:type="dcterms:W3CDTF">2014-08-25T05:01:00Z</dcterms:modified>
</cp:coreProperties>
</file>